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动力电池液冷控制方法测试材料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用于专利交底书智能体材料导入与图文检查测试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8"/>
        </w:rPr>
        <w:t>技术背景</w:t>
      </w:r>
    </w:p>
    <w:p>
      <w:pPr>
        <w:spacing w:after="140" w:line="34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现有动力电池包通常采用固定转速水泵循环冷却液。当各电池模组温度差较大时，固定流量难以及时加强高温区域的冷却；当温差较小时，水泵持续高速运行会带来不必要的能耗和噪声。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8"/>
        </w:rPr>
        <w:t>技术方案</w:t>
      </w:r>
    </w:p>
    <w:p>
      <w:pPr>
        <w:spacing w:after="140" w:line="34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本方案包括四个电池模组，每个模组设置一个温度传感器。控制器每秒采集一次各传感器温度，并计算最高温度与最低温度之间的温差。</w:t>
      </w:r>
    </w:p>
    <w:p>
      <w:pPr>
        <w:spacing w:after="140" w:line="34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当温差大于5摄氏度时，控制器将电子水泵的PWM占空比调节至80%；当温差小于3摄氏度时，将PWM占空比调节至40%；当温差处于3至5摄氏度之间时，保持当前占空比不变，以避免水泵频繁切换。</w:t>
      </w:r>
    </w:p>
    <w:p>
      <w:pPr>
        <w:spacing w:after="140" w:line="34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冷却液依次经过电子水泵、电池包底部冷板和回流管路后回到储液装置。控制器在连续10秒检测到温差大于5摄氏度时，向整车控制器发送温差异常信号。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8"/>
        </w:rPr>
        <w:t>附图说明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sclosure_upload_fixtur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图1 动力电池液冷控制系统结构示意图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8"/>
        </w:rPr>
        <w:t>待补充事项</w:t>
      </w:r>
    </w:p>
    <w:p>
      <w:pPr>
        <w:spacing w:after="140" w:line="348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尚未确定PWM频率、温度传感器型号及温差异常信号的通信协议。当前没有节能比例、降温速度等实验数据。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