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A64A" w14:textId="77777777" w:rsidR="00592021" w:rsidRDefault="00592021" w:rsidP="00592021"/>
    <w:p w14:paraId="59F63521" w14:textId="77777777" w:rsidR="00592021" w:rsidRDefault="00592021" w:rsidP="00592021">
      <w:r>
        <w:t>Recommendation</w:t>
      </w:r>
      <w:r>
        <w:tab/>
        <w:t>[Buy / Sell / Hold]</w:t>
      </w:r>
    </w:p>
    <w:p w14:paraId="4DB268A6" w14:textId="77777777" w:rsidR="00592021" w:rsidRDefault="00592021" w:rsidP="00592021">
      <w:r>
        <w:t>Key Reasons for the Trade</w:t>
      </w:r>
    </w:p>
    <w:p w14:paraId="13C17CC4" w14:textId="77777777" w:rsidR="00592021" w:rsidRDefault="00592021" w:rsidP="00592021">
      <w:r>
        <w:t>Key Risks</w:t>
      </w:r>
    </w:p>
    <w:p w14:paraId="7F78B634" w14:textId="07CFD1DF" w:rsidR="00592021" w:rsidRDefault="00592021" w:rsidP="00592021">
      <w:r>
        <w:t>Near-Term Catalysts</w:t>
      </w:r>
    </w:p>
    <w:p w14:paraId="05A01293" w14:textId="4AB2FD07" w:rsidR="00592021" w:rsidRDefault="00592021" w:rsidP="00592021">
      <w:r>
        <w:t>What Would Change the View</w:t>
      </w:r>
    </w:p>
    <w:p w14:paraId="22ED6E18" w14:textId="77777777" w:rsidR="00592021" w:rsidRDefault="00592021" w:rsidP="00592021">
      <w:r>
        <w:t> </w:t>
      </w:r>
    </w:p>
    <w:p w14:paraId="09A562A4" w14:textId="4FA1C50B" w:rsidR="00592021" w:rsidRDefault="00592021" w:rsidP="00592021">
      <w:r>
        <w:t>Key Credit Questions</w:t>
      </w:r>
    </w:p>
    <w:p w14:paraId="4CDB8ACA" w14:textId="0C110620" w:rsidR="00592021" w:rsidRDefault="00592021" w:rsidP="00592021">
      <w:r>
        <w:t>Core Underwriting Questions</w:t>
      </w:r>
    </w:p>
    <w:p w14:paraId="432DBE4B" w14:textId="0424A5E9" w:rsidR="00592021" w:rsidRDefault="00592021" w:rsidP="00592021">
      <w:r>
        <w:t>What Matters Most to the Credit</w:t>
      </w:r>
    </w:p>
    <w:p w14:paraId="4CD22202" w14:textId="0CFD9C89" w:rsidR="00592021" w:rsidRDefault="00592021" w:rsidP="00592021">
      <w:r>
        <w:t>Issues Requiring Further Work</w:t>
      </w:r>
    </w:p>
    <w:p w14:paraId="35564455" w14:textId="77777777" w:rsidR="00592021" w:rsidRDefault="00592021" w:rsidP="00592021">
      <w:r>
        <w:t> </w:t>
      </w:r>
    </w:p>
    <w:p w14:paraId="498830F1" w14:textId="786AF2C8" w:rsidR="00592021" w:rsidRDefault="00592021" w:rsidP="00592021">
      <w:r>
        <w:t>Company Overview</w:t>
      </w:r>
    </w:p>
    <w:p w14:paraId="59AAC4F4" w14:textId="39F0D9A5" w:rsidR="00592021" w:rsidRDefault="00592021" w:rsidP="00592021">
      <w:r>
        <w:t>Business Description</w:t>
      </w:r>
    </w:p>
    <w:p w14:paraId="0987EFFC" w14:textId="67DA5380" w:rsidR="00592021" w:rsidRDefault="00592021" w:rsidP="00592021">
      <w:r>
        <w:t>History and Corporate Evolution</w:t>
      </w:r>
    </w:p>
    <w:p w14:paraId="248D9F15" w14:textId="3DC2370F" w:rsidR="00592021" w:rsidRDefault="00592021" w:rsidP="00592021">
      <w:r>
        <w:t>Business Segments</w:t>
      </w:r>
    </w:p>
    <w:p w14:paraId="30F037B1" w14:textId="5EC700F5" w:rsidR="00592021" w:rsidRDefault="00592021" w:rsidP="00592021">
      <w:r>
        <w:t>Revenue Mix</w:t>
      </w:r>
    </w:p>
    <w:p w14:paraId="1CB6FE32" w14:textId="137C8DEC" w:rsidR="00592021" w:rsidRDefault="00592021" w:rsidP="00592021">
      <w:r>
        <w:t>Geographic Footprint</w:t>
      </w:r>
    </w:p>
    <w:p w14:paraId="19A0ECFC" w14:textId="2C5D6530" w:rsidR="00592021" w:rsidRDefault="00592021" w:rsidP="00592021">
      <w:r>
        <w:t>Customer Base</w:t>
      </w:r>
    </w:p>
    <w:p w14:paraId="7B886003" w14:textId="15FF9CBC" w:rsidR="00592021" w:rsidRDefault="00592021" w:rsidP="00592021">
      <w:r>
        <w:t>Key Assets / Strategic Importance</w:t>
      </w:r>
    </w:p>
    <w:p w14:paraId="3ABE18E5" w14:textId="0A2C97EA" w:rsidR="00592021" w:rsidRDefault="00592021" w:rsidP="00592021">
      <w:r>
        <w:t>Management and Ownership</w:t>
      </w:r>
    </w:p>
    <w:p w14:paraId="576F3F66" w14:textId="6BCCA7A6" w:rsidR="00592021" w:rsidRDefault="00592021" w:rsidP="00592021">
      <w:r>
        <w:t>Recent Strategic Developments</w:t>
      </w:r>
    </w:p>
    <w:p w14:paraId="6E962296" w14:textId="77777777" w:rsidR="00592021" w:rsidRDefault="00592021" w:rsidP="00592021">
      <w:r>
        <w:t> </w:t>
      </w:r>
    </w:p>
    <w:p w14:paraId="10B9D705" w14:textId="25487BA0" w:rsidR="00592021" w:rsidRDefault="00592021" w:rsidP="00592021">
      <w:r>
        <w:t>Industry Analysis</w:t>
      </w:r>
    </w:p>
    <w:p w14:paraId="2F1E88FC" w14:textId="68BB6763" w:rsidR="00592021" w:rsidRDefault="00592021" w:rsidP="00592021">
      <w:r>
        <w:t>Industry Overview</w:t>
      </w:r>
    </w:p>
    <w:p w14:paraId="7FF146DC" w14:textId="787A3EFE" w:rsidR="00592021" w:rsidRDefault="00592021" w:rsidP="00592021">
      <w:r>
        <w:t>Market Size and Structure</w:t>
      </w:r>
    </w:p>
    <w:p w14:paraId="1B93384F" w14:textId="04CF840C" w:rsidR="00592021" w:rsidRDefault="00592021" w:rsidP="00592021">
      <w:r>
        <w:t>Growth Drivers</w:t>
      </w:r>
    </w:p>
    <w:p w14:paraId="35E74FD7" w14:textId="280977E2" w:rsidR="00592021" w:rsidRDefault="00592021" w:rsidP="00592021">
      <w:r>
        <w:t>Cyclicality / Secular Trends</w:t>
      </w:r>
    </w:p>
    <w:p w14:paraId="3303953A" w14:textId="0E48E36F" w:rsidR="00592021" w:rsidRDefault="00592021" w:rsidP="00592021">
      <w:r>
        <w:t>Pricing Dynamics</w:t>
      </w:r>
    </w:p>
    <w:p w14:paraId="0055F215" w14:textId="1D49D3FF" w:rsidR="00592021" w:rsidRDefault="00592021" w:rsidP="00592021">
      <w:r>
        <w:t>Regulatory / Legal Issues</w:t>
      </w:r>
    </w:p>
    <w:p w14:paraId="0E927B78" w14:textId="345699BB" w:rsidR="00592021" w:rsidRDefault="00592021" w:rsidP="00592021">
      <w:r>
        <w:t>Industry Risks</w:t>
      </w:r>
    </w:p>
    <w:p w14:paraId="5EF21F59" w14:textId="79546855" w:rsidR="00592021" w:rsidRDefault="00592021" w:rsidP="00592021">
      <w:r>
        <w:t>Industry Outlook</w:t>
      </w:r>
    </w:p>
    <w:p w14:paraId="448072FC" w14:textId="77777777" w:rsidR="00592021" w:rsidRDefault="00592021" w:rsidP="00592021">
      <w:r>
        <w:t> </w:t>
      </w:r>
    </w:p>
    <w:p w14:paraId="0EC80464" w14:textId="36337712" w:rsidR="00592021" w:rsidRDefault="00592021" w:rsidP="00592021">
      <w:r>
        <w:t>Competitive Analysis</w:t>
      </w:r>
    </w:p>
    <w:p w14:paraId="5532E4FA" w14:textId="6F6BC07B" w:rsidR="00592021" w:rsidRDefault="00592021" w:rsidP="00592021">
      <w:r>
        <w:t>Competitive Landscape</w:t>
      </w:r>
    </w:p>
    <w:p w14:paraId="095984C4" w14:textId="13C431D0" w:rsidR="00592021" w:rsidRDefault="00592021" w:rsidP="00592021">
      <w:r>
        <w:t>Major Competitors</w:t>
      </w:r>
    </w:p>
    <w:p w14:paraId="228D2ABD" w14:textId="68B7A73E" w:rsidR="00592021" w:rsidRDefault="00592021" w:rsidP="00592021">
      <w:r>
        <w:t>Relative Positioning</w:t>
      </w:r>
    </w:p>
    <w:p w14:paraId="3FFA09C6" w14:textId="6897D594" w:rsidR="00592021" w:rsidRDefault="00592021" w:rsidP="00592021">
      <w:r>
        <w:t>Competitive Advantages</w:t>
      </w:r>
    </w:p>
    <w:p w14:paraId="53736332" w14:textId="23E989BA" w:rsidR="00592021" w:rsidRDefault="00592021" w:rsidP="00592021">
      <w:r>
        <w:t>Competitive Weaknesses</w:t>
      </w:r>
    </w:p>
    <w:p w14:paraId="0AB1D9B6" w14:textId="51555AD1" w:rsidR="00592021" w:rsidRDefault="00592021" w:rsidP="00592021">
      <w:r>
        <w:t>Market Share / Share Shift Risk</w:t>
      </w:r>
    </w:p>
    <w:p w14:paraId="7F2189C9" w14:textId="5289F13F" w:rsidR="00592021" w:rsidRDefault="00592021" w:rsidP="00592021">
      <w:r>
        <w:t>Customer Switching / Retention Dynamics</w:t>
      </w:r>
    </w:p>
    <w:p w14:paraId="2CBBDA78" w14:textId="10F8D841" w:rsidR="00592021" w:rsidRDefault="00592021" w:rsidP="00592021">
      <w:r>
        <w:t>Competitive Outlook</w:t>
      </w:r>
    </w:p>
    <w:p w14:paraId="7DD7E512" w14:textId="77777777" w:rsidR="00592021" w:rsidRDefault="00592021" w:rsidP="00592021">
      <w:r>
        <w:t> </w:t>
      </w:r>
    </w:p>
    <w:p w14:paraId="2762F86B" w14:textId="77777777" w:rsidR="00592021" w:rsidRDefault="00592021" w:rsidP="00592021">
      <w:r>
        <w:t>Investment Thesis</w:t>
      </w:r>
    </w:p>
    <w:p w14:paraId="4C3F3EB8" w14:textId="0CEE2736" w:rsidR="00592021" w:rsidRDefault="00592021" w:rsidP="00592021">
      <w:r>
        <w:lastRenderedPageBreak/>
        <w:t>Core Long / Short / Credit Thesis</w:t>
      </w:r>
    </w:p>
    <w:p w14:paraId="47634B3B" w14:textId="1AE0E462" w:rsidR="00592021" w:rsidRDefault="00592021" w:rsidP="00592021">
      <w:r>
        <w:t>Why the Market May Be Wrong</w:t>
      </w:r>
    </w:p>
    <w:p w14:paraId="7C036E8B" w14:textId="40A65054" w:rsidR="00592021" w:rsidRDefault="00592021" w:rsidP="00592021">
      <w:r>
        <w:t>Key Supporting Evidence</w:t>
      </w:r>
    </w:p>
    <w:p w14:paraId="762FB6FE" w14:textId="4764805B" w:rsidR="00592021" w:rsidRDefault="00592021" w:rsidP="00592021">
      <w:r>
        <w:t>Variant Perception</w:t>
      </w:r>
    </w:p>
    <w:p w14:paraId="603EABB9" w14:textId="759CF4BA" w:rsidR="00592021" w:rsidRDefault="00592021" w:rsidP="00592021">
      <w:r>
        <w:t>Time Horizon</w:t>
      </w:r>
    </w:p>
    <w:p w14:paraId="6B9DCAAC" w14:textId="77777777" w:rsidR="00592021" w:rsidRDefault="00592021" w:rsidP="00592021">
      <w:r>
        <w:t> </w:t>
      </w:r>
    </w:p>
    <w:p w14:paraId="1F75197B" w14:textId="21658353" w:rsidR="00592021" w:rsidRDefault="00592021" w:rsidP="00592021">
      <w:r>
        <w:t>Capital Structure</w:t>
      </w:r>
    </w:p>
    <w:p w14:paraId="61557741" w14:textId="4E6BD574" w:rsidR="00592021" w:rsidRDefault="00592021" w:rsidP="00592021">
      <w:r>
        <w:t>Overview of Capital Structure</w:t>
      </w:r>
    </w:p>
    <w:p w14:paraId="24FA3124" w14:textId="77777777" w:rsidR="00592021" w:rsidRDefault="00592021" w:rsidP="00592021">
      <w:r>
        <w:t>Debt Instruments Summar</w:t>
      </w:r>
      <w:r>
        <w:t>y</w:t>
      </w:r>
    </w:p>
    <w:p w14:paraId="14DC78F9" w14:textId="5B27E7F3" w:rsidR="00592021" w:rsidRDefault="00592021" w:rsidP="00592021">
      <w:r>
        <w:t>Maturity Schedule</w:t>
      </w:r>
    </w:p>
    <w:p w14:paraId="1A6B245D" w14:textId="2D3C0014" w:rsidR="00592021" w:rsidRDefault="00592021" w:rsidP="00592021">
      <w:r>
        <w:t>Secured vs. Unsecured Debt</w:t>
      </w:r>
    </w:p>
    <w:p w14:paraId="1E865609" w14:textId="71DBDC79" w:rsidR="00592021" w:rsidRDefault="00592021" w:rsidP="00592021">
      <w:r>
        <w:t>Priority / Lien Ranking</w:t>
      </w:r>
    </w:p>
    <w:p w14:paraId="57700B9D" w14:textId="1AA60CAA" w:rsidR="00592021" w:rsidRDefault="00592021" w:rsidP="00592021">
      <w:r>
        <w:t>Interest Burden</w:t>
      </w:r>
    </w:p>
    <w:p w14:paraId="7307772C" w14:textId="6F408F3A" w:rsidR="00592021" w:rsidRDefault="00592021" w:rsidP="00592021">
      <w:r>
        <w:t xml:space="preserve">Off-Balance Sheet Obligations / Leases / </w:t>
      </w:r>
      <w:proofErr w:type="spellStart"/>
      <w:r>
        <w:t>Preferreds</w:t>
      </w:r>
      <w:proofErr w:type="spellEnd"/>
    </w:p>
    <w:p w14:paraId="74602DD4" w14:textId="1AC38A20" w:rsidR="00592021" w:rsidRDefault="00592021" w:rsidP="00592021">
      <w:r>
        <w:t>Convertibles / Hybrids / Other Claims</w:t>
      </w:r>
    </w:p>
    <w:p w14:paraId="139B0453" w14:textId="5A96B063" w:rsidR="00592021" w:rsidRDefault="00592021" w:rsidP="00592021">
      <w:r>
        <w:t>Trading Levels of Relevant Securities</w:t>
      </w:r>
    </w:p>
    <w:p w14:paraId="02B81AEE" w14:textId="77777777" w:rsidR="00592021" w:rsidRDefault="00592021" w:rsidP="00592021">
      <w:r>
        <w:t> </w:t>
      </w:r>
    </w:p>
    <w:p w14:paraId="6BEDC9DD" w14:textId="61F999BC" w:rsidR="00592021" w:rsidRDefault="00592021" w:rsidP="00592021">
      <w:r>
        <w:t>Organizational Structure</w:t>
      </w:r>
    </w:p>
    <w:p w14:paraId="15D9962C" w14:textId="3F8B9DFC" w:rsidR="00592021" w:rsidRDefault="00592021" w:rsidP="00592021">
      <w:r>
        <w:t>Parent / Subsidiary Overview</w:t>
      </w:r>
    </w:p>
    <w:p w14:paraId="07B1792F" w14:textId="6A389A78" w:rsidR="00592021" w:rsidRDefault="00592021" w:rsidP="00592021">
      <w:r>
        <w:t>Legal Entity Structure</w:t>
      </w:r>
    </w:p>
    <w:p w14:paraId="3800D074" w14:textId="188AEA34" w:rsidR="00592021" w:rsidRDefault="00592021" w:rsidP="00592021">
      <w:r>
        <w:t>Debt Issuers and Borrowers</w:t>
      </w:r>
    </w:p>
    <w:p w14:paraId="34FAC428" w14:textId="244782FE" w:rsidR="00592021" w:rsidRDefault="00592021" w:rsidP="00592021">
      <w:r>
        <w:t>Guarantors</w:t>
      </w:r>
    </w:p>
    <w:p w14:paraId="3436CEB6" w14:textId="6679034B" w:rsidR="00592021" w:rsidRDefault="00592021" w:rsidP="00592021">
      <w:r>
        <w:t>Restricted vs. Unrestricted Subsidiaries</w:t>
      </w:r>
    </w:p>
    <w:p w14:paraId="1309BA5D" w14:textId="4B8036DA" w:rsidR="00592021" w:rsidRDefault="00592021" w:rsidP="00592021">
      <w:r>
        <w:t>Structural Seniority / Subordination</w:t>
      </w:r>
    </w:p>
    <w:p w14:paraId="4E08073A" w14:textId="10C52489" w:rsidR="00592021" w:rsidRDefault="00592021" w:rsidP="00592021">
      <w:r>
        <w:t>Collateral Ownership by Entity</w:t>
      </w:r>
    </w:p>
    <w:p w14:paraId="11B4BDC4" w14:textId="76175F5A" w:rsidR="00592021" w:rsidRDefault="00592021" w:rsidP="00592021">
      <w:r>
        <w:t>Organizational Complexity and Credit Implications</w:t>
      </w:r>
    </w:p>
    <w:p w14:paraId="104522A1" w14:textId="77777777" w:rsidR="00592021" w:rsidRDefault="00592021" w:rsidP="00592021">
      <w:r>
        <w:t> </w:t>
      </w:r>
    </w:p>
    <w:p w14:paraId="474E36F5" w14:textId="79B1F9C0" w:rsidR="00592021" w:rsidRDefault="00592021" w:rsidP="00592021">
      <w:r>
        <w:t>Debt Document Review</w:t>
      </w:r>
    </w:p>
    <w:p w14:paraId="5970A1B0" w14:textId="3BC736E8" w:rsidR="00592021" w:rsidRDefault="00592021" w:rsidP="00592021">
      <w:r>
        <w:t>Document Set Reviewed</w:t>
      </w:r>
    </w:p>
    <w:p w14:paraId="496B2AA1" w14:textId="64923B5E" w:rsidR="00592021" w:rsidRDefault="00592021" w:rsidP="00592021">
      <w:r>
        <w:t>Covenant Package Overview</w:t>
      </w:r>
    </w:p>
    <w:p w14:paraId="0EDB47E8" w14:textId="58FC843A" w:rsidR="00592021" w:rsidRDefault="00592021" w:rsidP="00592021">
      <w:r>
        <w:t>Debt Incurrence Capacity</w:t>
      </w:r>
    </w:p>
    <w:p w14:paraId="0C68CC82" w14:textId="6A69814E" w:rsidR="00592021" w:rsidRDefault="00592021" w:rsidP="00592021">
      <w:r>
        <w:t>Restricted Payments Capacity</w:t>
      </w:r>
    </w:p>
    <w:p w14:paraId="0D0F52E3" w14:textId="6C927E2D" w:rsidR="00592021" w:rsidRDefault="00592021" w:rsidP="00592021">
      <w:r>
        <w:t>Lien Capacity</w:t>
      </w:r>
    </w:p>
    <w:p w14:paraId="27DF37FE" w14:textId="4AFF7351" w:rsidR="00592021" w:rsidRDefault="00592021" w:rsidP="00592021">
      <w:r>
        <w:t>Investment / Asset Transfer Flexibility</w:t>
      </w:r>
    </w:p>
    <w:p w14:paraId="2CCD8ADB" w14:textId="44F7C4B7" w:rsidR="00592021" w:rsidRDefault="00592021" w:rsidP="00592021">
      <w:r>
        <w:t>Asset Sale Provisions</w:t>
      </w:r>
    </w:p>
    <w:p w14:paraId="244474A2" w14:textId="70427599" w:rsidR="00592021" w:rsidRDefault="00592021" w:rsidP="00592021">
      <w:r>
        <w:t>EBITDA Definitions and Add-Backs</w:t>
      </w:r>
    </w:p>
    <w:p w14:paraId="0848BD2D" w14:textId="40A6559C" w:rsidR="00592021" w:rsidRDefault="00592021" w:rsidP="00592021">
      <w:r>
        <w:t>Builder Basket / General Baskets</w:t>
      </w:r>
    </w:p>
    <w:p w14:paraId="0D400FF7" w14:textId="482F1238" w:rsidR="00592021" w:rsidRDefault="00592021" w:rsidP="00592021">
      <w:r>
        <w:t>Collateral Release Provisions</w:t>
      </w:r>
    </w:p>
    <w:p w14:paraId="3F261684" w14:textId="50DAD24C" w:rsidR="00592021" w:rsidRDefault="00592021" w:rsidP="00592021">
      <w:r>
        <w:t>Change of Control</w:t>
      </w:r>
    </w:p>
    <w:p w14:paraId="68C69ACC" w14:textId="75C29349" w:rsidR="00592021" w:rsidRDefault="00592021" w:rsidP="00592021">
      <w:r>
        <w:t>Events of Default</w:t>
      </w:r>
    </w:p>
    <w:p w14:paraId="3AAA0934" w14:textId="44994404" w:rsidR="00592021" w:rsidRDefault="00592021" w:rsidP="00592021">
      <w:r>
        <w:t>Amendments / Waiver Flexibility</w:t>
      </w:r>
    </w:p>
    <w:p w14:paraId="4D77A706" w14:textId="46D327E4" w:rsidR="00592021" w:rsidRDefault="00592021" w:rsidP="00592021">
      <w:r>
        <w:t>Priming / Leakage / Dropdown / LME Risk</w:t>
      </w:r>
    </w:p>
    <w:p w14:paraId="3D1121BF" w14:textId="2DAE38E3" w:rsidR="00592021" w:rsidRDefault="00592021" w:rsidP="00592021">
      <w:r>
        <w:t>Key Document Strengths</w:t>
      </w:r>
    </w:p>
    <w:p w14:paraId="567108D1" w14:textId="0FC914E4" w:rsidR="00592021" w:rsidRDefault="00592021" w:rsidP="00592021">
      <w:r>
        <w:t>Key Document Weaknesses</w:t>
      </w:r>
    </w:p>
    <w:p w14:paraId="51DA7C67" w14:textId="77777777" w:rsidR="00592021" w:rsidRDefault="00592021" w:rsidP="00592021">
      <w:r>
        <w:lastRenderedPageBreak/>
        <w:t> </w:t>
      </w:r>
    </w:p>
    <w:p w14:paraId="45E34B97" w14:textId="303319B0" w:rsidR="00592021" w:rsidRDefault="00592021" w:rsidP="00592021">
      <w:r>
        <w:t>Historical Financial Analysis</w:t>
      </w:r>
    </w:p>
    <w:p w14:paraId="6006DBCC" w14:textId="336D4AE2" w:rsidR="00592021" w:rsidRDefault="00592021" w:rsidP="00592021">
      <w:r>
        <w:t>Revenue History</w:t>
      </w:r>
    </w:p>
    <w:p w14:paraId="486DF0FB" w14:textId="02DE80B2" w:rsidR="00592021" w:rsidRDefault="00592021" w:rsidP="00592021">
      <w:r>
        <w:t>EBITDA and Margin History</w:t>
      </w:r>
    </w:p>
    <w:p w14:paraId="12213EC6" w14:textId="2CFBCFCF" w:rsidR="00592021" w:rsidRDefault="00592021" w:rsidP="00592021">
      <w:r>
        <w:t>Gross Margin / Operating Margin Trends</w:t>
      </w:r>
    </w:p>
    <w:p w14:paraId="4B864372" w14:textId="535FF2F2" w:rsidR="00592021" w:rsidRDefault="00592021" w:rsidP="00592021">
      <w:r>
        <w:t>Segment Performance</w:t>
      </w:r>
    </w:p>
    <w:p w14:paraId="50015565" w14:textId="22F807FB" w:rsidR="00592021" w:rsidRDefault="00592021" w:rsidP="00592021">
      <w:r>
        <w:t>Capex History</w:t>
      </w:r>
    </w:p>
    <w:p w14:paraId="56045F1C" w14:textId="2056E866" w:rsidR="00592021" w:rsidRDefault="00592021" w:rsidP="00592021">
      <w:r>
        <w:t>Working Capital Trends</w:t>
      </w:r>
    </w:p>
    <w:p w14:paraId="1C2AFCAE" w14:textId="411E5E15" w:rsidR="00592021" w:rsidRDefault="00592021" w:rsidP="00592021">
      <w:r>
        <w:t>Cash Interest</w:t>
      </w:r>
    </w:p>
    <w:p w14:paraId="17D48275" w14:textId="450C1AFA" w:rsidR="00592021" w:rsidRDefault="00592021" w:rsidP="00592021">
      <w:r>
        <w:t>Taxes</w:t>
      </w:r>
    </w:p>
    <w:p w14:paraId="0CA6AE9F" w14:textId="7C73D05E" w:rsidR="00592021" w:rsidRDefault="00592021" w:rsidP="00592021">
      <w:r>
        <w:t>Cash Flow Statement Review</w:t>
      </w:r>
    </w:p>
    <w:p w14:paraId="34EA259D" w14:textId="020DA767" w:rsidR="00592021" w:rsidRDefault="00592021" w:rsidP="00592021">
      <w:r>
        <w:t>Free Cash Flow Analysis</w:t>
      </w:r>
    </w:p>
    <w:p w14:paraId="620C8D33" w14:textId="60DBDAA1" w:rsidR="00592021" w:rsidRDefault="00592021" w:rsidP="00592021">
      <w:r>
        <w:t>Adjusted vs. Reported Earnings Quality</w:t>
      </w:r>
    </w:p>
    <w:p w14:paraId="72CC396F" w14:textId="6D5F45E1" w:rsidR="00592021" w:rsidRDefault="00592021" w:rsidP="00592021">
      <w:r>
        <w:t>One-Time Items / Add-Back Review</w:t>
      </w:r>
    </w:p>
    <w:p w14:paraId="48258165" w14:textId="77777777" w:rsidR="00592021" w:rsidRDefault="00592021" w:rsidP="00592021">
      <w:r>
        <w:t> </w:t>
      </w:r>
    </w:p>
    <w:p w14:paraId="61E1EA63" w14:textId="7B08AF16" w:rsidR="00592021" w:rsidRDefault="00592021" w:rsidP="00592021">
      <w:r>
        <w:t>Historical Cash Flow Review</w:t>
      </w:r>
    </w:p>
    <w:p w14:paraId="4E1CD20E" w14:textId="1731E3FE" w:rsidR="00592021" w:rsidRDefault="00592021" w:rsidP="00592021">
      <w:r>
        <w:t>Sources and Uses of Cash</w:t>
      </w:r>
    </w:p>
    <w:p w14:paraId="7099E8C0" w14:textId="70044AA2" w:rsidR="00592021" w:rsidRDefault="00592021" w:rsidP="00592021">
      <w:r>
        <w:t>EBITDA to Operating Cash Flow Bridge</w:t>
      </w:r>
    </w:p>
    <w:p w14:paraId="4C84A95B" w14:textId="6FB00E01" w:rsidR="00592021" w:rsidRDefault="00592021" w:rsidP="00592021">
      <w:r>
        <w:t>Operating Cash Flow to Free Cash Flow Bridge</w:t>
      </w:r>
    </w:p>
    <w:p w14:paraId="7CD3B55B" w14:textId="50161E98" w:rsidR="00592021" w:rsidRDefault="00592021" w:rsidP="00592021">
      <w:r>
        <w:t>Cash Conversion</w:t>
      </w:r>
    </w:p>
    <w:p w14:paraId="3F43AD5E" w14:textId="7BA08C26" w:rsidR="00592021" w:rsidRDefault="00592021" w:rsidP="00592021">
      <w:r>
        <w:t>Seasonal / Structural Cash Flow Issues</w:t>
      </w:r>
    </w:p>
    <w:p w14:paraId="2B766AE2" w14:textId="592D9353" w:rsidR="00592021" w:rsidRDefault="00592021" w:rsidP="00592021">
      <w:r>
        <w:t>Cash Flow Volatility</w:t>
      </w:r>
    </w:p>
    <w:p w14:paraId="0983A746" w14:textId="4479CB5E" w:rsidR="00592021" w:rsidRDefault="00592021" w:rsidP="00592021">
      <w:r>
        <w:t>Historical Deleveraging / Cash Burn Pattern</w:t>
      </w:r>
    </w:p>
    <w:p w14:paraId="27FA9E3B" w14:textId="77777777" w:rsidR="00592021" w:rsidRDefault="00592021" w:rsidP="00592021">
      <w:r>
        <w:t> </w:t>
      </w:r>
    </w:p>
    <w:p w14:paraId="54950058" w14:textId="0F7BA46D" w:rsidR="00592021" w:rsidRDefault="00592021" w:rsidP="00592021">
      <w:r>
        <w:t>Projections and Forward Cash Flow Analysis</w:t>
      </w:r>
    </w:p>
    <w:p w14:paraId="3C21EE4B" w14:textId="155FA3D2" w:rsidR="00592021" w:rsidRDefault="00592021" w:rsidP="00592021">
      <w:r>
        <w:t>Forecast Methodology</w:t>
      </w:r>
    </w:p>
    <w:p w14:paraId="59EAE9CE" w14:textId="111C67F0" w:rsidR="00592021" w:rsidRDefault="00592021" w:rsidP="00592021">
      <w:r>
        <w:t>Key Assumptions</w:t>
      </w:r>
    </w:p>
    <w:p w14:paraId="552D8EC3" w14:textId="09CC21F5" w:rsidR="00592021" w:rsidRDefault="00592021" w:rsidP="00592021">
      <w:r>
        <w:t>Revenue Forecast</w:t>
      </w:r>
    </w:p>
    <w:p w14:paraId="2CBBACA0" w14:textId="773F5738" w:rsidR="00592021" w:rsidRDefault="00592021" w:rsidP="00592021">
      <w:r>
        <w:t>EBITDA Forecast</w:t>
      </w:r>
    </w:p>
    <w:p w14:paraId="6EED1767" w14:textId="5401E76B" w:rsidR="00592021" w:rsidRDefault="00592021" w:rsidP="00592021">
      <w:r>
        <w:t>Margin Assumptions</w:t>
      </w:r>
    </w:p>
    <w:p w14:paraId="74EA6BFA" w14:textId="6817D93F" w:rsidR="00592021" w:rsidRDefault="00592021" w:rsidP="00592021">
      <w:r>
        <w:t>Capex Forecast</w:t>
      </w:r>
    </w:p>
    <w:p w14:paraId="2903796B" w14:textId="75F63CDF" w:rsidR="00592021" w:rsidRDefault="00592021" w:rsidP="00592021">
      <w:r>
        <w:t>Working Capital Assumptions</w:t>
      </w:r>
    </w:p>
    <w:p w14:paraId="468C71F5" w14:textId="028A21F0" w:rsidR="00592021" w:rsidRDefault="00592021" w:rsidP="00592021">
      <w:r>
        <w:t>Cash Interest Forecast</w:t>
      </w:r>
    </w:p>
    <w:p w14:paraId="398B214A" w14:textId="0844AF76" w:rsidR="00592021" w:rsidRDefault="00592021" w:rsidP="00592021">
      <w:r>
        <w:t>Tax Assumptions</w:t>
      </w:r>
    </w:p>
    <w:p w14:paraId="03AD540C" w14:textId="4E0BE8FB" w:rsidR="00592021" w:rsidRDefault="00592021" w:rsidP="00592021">
      <w:r>
        <w:t>Free Cash Flow Forecast</w:t>
      </w:r>
    </w:p>
    <w:p w14:paraId="1ECA3EDF" w14:textId="39F5CEF9" w:rsidR="00592021" w:rsidRDefault="00592021" w:rsidP="00592021">
      <w:r>
        <w:t>Base / Upside / Downside Cases</w:t>
      </w:r>
    </w:p>
    <w:p w14:paraId="128339F9" w14:textId="2612034C" w:rsidR="00592021" w:rsidRDefault="00592021" w:rsidP="00592021">
      <w:r>
        <w:t>Sensitivities</w:t>
      </w:r>
    </w:p>
    <w:p w14:paraId="5A605531" w14:textId="77777777" w:rsidR="00592021" w:rsidRDefault="00592021" w:rsidP="00592021">
      <w:r>
        <w:t> </w:t>
      </w:r>
    </w:p>
    <w:p w14:paraId="3CB1290B" w14:textId="1C15301C" w:rsidR="00592021" w:rsidRDefault="00592021" w:rsidP="00592021">
      <w:r>
        <w:t>Liquidity Analysis</w:t>
      </w:r>
    </w:p>
    <w:p w14:paraId="2038F0F3" w14:textId="73E3702B" w:rsidR="00592021" w:rsidRDefault="00592021" w:rsidP="00592021">
      <w:r>
        <w:t>Cash on Hand</w:t>
      </w:r>
    </w:p>
    <w:p w14:paraId="2FC00DEB" w14:textId="77532531" w:rsidR="00592021" w:rsidRDefault="00592021" w:rsidP="00592021">
      <w:r>
        <w:t>Revolver / ABL Availability</w:t>
      </w:r>
    </w:p>
    <w:p w14:paraId="18B38872" w14:textId="4BC6C781" w:rsidR="00592021" w:rsidRDefault="00592021" w:rsidP="00592021">
      <w:r>
        <w:t>Restricted Cash</w:t>
      </w:r>
    </w:p>
    <w:p w14:paraId="4CA6431E" w14:textId="23E07FB3" w:rsidR="00592021" w:rsidRDefault="00592021" w:rsidP="00592021">
      <w:r>
        <w:t>Near-Term Uses of Cash</w:t>
      </w:r>
    </w:p>
    <w:p w14:paraId="6C4E90F0" w14:textId="768FB5B7" w:rsidR="00592021" w:rsidRDefault="00592021" w:rsidP="00592021">
      <w:r>
        <w:t>Debt Maturities</w:t>
      </w:r>
    </w:p>
    <w:p w14:paraId="364A4A38" w14:textId="023B1676" w:rsidR="00592021" w:rsidRDefault="00592021" w:rsidP="00592021">
      <w:r>
        <w:lastRenderedPageBreak/>
        <w:t>Covenant Headroom</w:t>
      </w:r>
    </w:p>
    <w:p w14:paraId="47E71D64" w14:textId="2FD94C6A" w:rsidR="00592021" w:rsidRDefault="00592021" w:rsidP="00592021">
      <w:r>
        <w:t>Liquidity Runway</w:t>
      </w:r>
    </w:p>
    <w:p w14:paraId="50D80381" w14:textId="3E55440B" w:rsidR="00592021" w:rsidRDefault="00592021" w:rsidP="00592021">
      <w:r>
        <w:t>Refinancing Risk</w:t>
      </w:r>
    </w:p>
    <w:p w14:paraId="6E04F5FB" w14:textId="68203A0D" w:rsidR="00592021" w:rsidRDefault="00592021" w:rsidP="00592021">
      <w:r>
        <w:t>Minimum Liquidity / Springing Covenant Issues</w:t>
      </w:r>
    </w:p>
    <w:p w14:paraId="5538F1A5" w14:textId="375FFFAE" w:rsidR="00592021" w:rsidRDefault="00592021" w:rsidP="00592021">
      <w:r>
        <w:t>Bottom-Line Liquidity Assessment</w:t>
      </w:r>
    </w:p>
    <w:p w14:paraId="5019F53F" w14:textId="77777777" w:rsidR="00592021" w:rsidRDefault="00592021" w:rsidP="00592021">
      <w:r>
        <w:t> </w:t>
      </w:r>
    </w:p>
    <w:p w14:paraId="0EE25E16" w14:textId="78E092D2" w:rsidR="00592021" w:rsidRDefault="00592021" w:rsidP="00592021">
      <w:r>
        <w:t>Valuation</w:t>
      </w:r>
    </w:p>
    <w:p w14:paraId="4293AB20" w14:textId="5A6D6F9C" w:rsidR="00592021" w:rsidRDefault="00592021" w:rsidP="00592021">
      <w:r>
        <w:t>Valuation Framework</w:t>
      </w:r>
    </w:p>
    <w:p w14:paraId="6FBA14F3" w14:textId="335F8E1D" w:rsidR="00592021" w:rsidRDefault="00592021" w:rsidP="00592021">
      <w:r>
        <w:t>Trading Comps</w:t>
      </w:r>
    </w:p>
    <w:p w14:paraId="57F17353" w14:textId="73DBAB39" w:rsidR="00592021" w:rsidRDefault="00592021" w:rsidP="00592021">
      <w:r>
        <w:t>Precedent Transactions</w:t>
      </w:r>
    </w:p>
    <w:p w14:paraId="5319AAC2" w14:textId="4D44AEDB" w:rsidR="00592021" w:rsidRDefault="00592021" w:rsidP="00592021">
      <w:r>
        <w:t>EV / EBITDA Analysis</w:t>
      </w:r>
    </w:p>
    <w:p w14:paraId="3C8AEE00" w14:textId="5EF4D8DB" w:rsidR="00592021" w:rsidRDefault="00592021" w:rsidP="00592021">
      <w:r>
        <w:t>FCF Yield / Cash Flow Valuation</w:t>
      </w:r>
    </w:p>
    <w:p w14:paraId="02CD68CF" w14:textId="72302678" w:rsidR="00592021" w:rsidRDefault="00592021" w:rsidP="00592021">
      <w:r>
        <w:t>Asset Value / Sum-of-the-Parts</w:t>
      </w:r>
    </w:p>
    <w:p w14:paraId="68479FF1" w14:textId="3C40AC6D" w:rsidR="00592021" w:rsidRDefault="00592021" w:rsidP="00592021">
      <w:r>
        <w:t>Distressed Valuation / Recovery Framework</w:t>
      </w:r>
    </w:p>
    <w:p w14:paraId="269AED0C" w14:textId="18239B8E" w:rsidR="00592021" w:rsidRDefault="00592021" w:rsidP="00592021">
      <w:r>
        <w:t>Implied Value by Security</w:t>
      </w:r>
    </w:p>
    <w:p w14:paraId="1DB96F72" w14:textId="291354C7" w:rsidR="00592021" w:rsidRDefault="00592021" w:rsidP="00592021">
      <w:r>
        <w:t>Valuation Sensitivities</w:t>
      </w:r>
    </w:p>
    <w:p w14:paraId="71E7ECB8" w14:textId="65A826FD" w:rsidR="00592021" w:rsidRDefault="00592021" w:rsidP="00592021">
      <w:r>
        <w:t>Valuation Conclusion</w:t>
      </w:r>
    </w:p>
    <w:p w14:paraId="379F7763" w14:textId="77777777" w:rsidR="00592021" w:rsidRDefault="00592021" w:rsidP="00592021">
      <w:r>
        <w:t> </w:t>
      </w:r>
    </w:p>
    <w:p w14:paraId="7BB3E987" w14:textId="7EECA9CC" w:rsidR="00592021" w:rsidRDefault="00592021" w:rsidP="00592021">
      <w:r>
        <w:t>Recovery and Downside Analysis</w:t>
      </w:r>
    </w:p>
    <w:p w14:paraId="2D76F68D" w14:textId="583AFAE8" w:rsidR="00592021" w:rsidRDefault="00592021" w:rsidP="00592021">
      <w:r>
        <w:t>Downside Scenario Overview</w:t>
      </w:r>
    </w:p>
    <w:p w14:paraId="1007FF80" w14:textId="69B88399" w:rsidR="00592021" w:rsidRDefault="00592021" w:rsidP="00592021">
      <w:r>
        <w:t>Stressed EBITDA / Cash Flow Case</w:t>
      </w:r>
    </w:p>
    <w:p w14:paraId="6E726B1A" w14:textId="669D854F" w:rsidR="00592021" w:rsidRDefault="00592021" w:rsidP="00592021">
      <w:r>
        <w:t>Stressed Valuation Range</w:t>
      </w:r>
    </w:p>
    <w:p w14:paraId="78D6BD91" w14:textId="441003C9" w:rsidR="00592021" w:rsidRDefault="00592021" w:rsidP="00592021">
      <w:r>
        <w:t>Waterfall / Claims Analysis</w:t>
      </w:r>
    </w:p>
    <w:p w14:paraId="0B94202D" w14:textId="356E18ED" w:rsidR="00592021" w:rsidRDefault="00592021" w:rsidP="00592021">
      <w:r>
        <w:t>Recovery by Instrument</w:t>
      </w:r>
    </w:p>
    <w:p w14:paraId="271ABB63" w14:textId="5BBF0CF2" w:rsidR="00592021" w:rsidRDefault="00592021" w:rsidP="00592021">
      <w:r>
        <w:t>Structural Issues Affecting Recoveries</w:t>
      </w:r>
    </w:p>
    <w:p w14:paraId="01AB1FC4" w14:textId="4B607961" w:rsidR="00592021" w:rsidRDefault="00592021" w:rsidP="00592021">
      <w:r>
        <w:t>Key Downside Drivers</w:t>
      </w:r>
    </w:p>
    <w:p w14:paraId="7FD254F1" w14:textId="77777777" w:rsidR="00592021" w:rsidRDefault="00592021" w:rsidP="00592021">
      <w:r>
        <w:t> </w:t>
      </w:r>
    </w:p>
    <w:p w14:paraId="43118F2C" w14:textId="209E58A0" w:rsidR="00592021" w:rsidRDefault="00592021" w:rsidP="00592021">
      <w:r>
        <w:t>Counter-Thesis / Bear Case Review</w:t>
      </w:r>
    </w:p>
    <w:p w14:paraId="22E35566" w14:textId="4F1D536E" w:rsidR="00592021" w:rsidRDefault="00592021" w:rsidP="00592021">
      <w:r>
        <w:t>Strongest Arguments Against the Recommendation</w:t>
      </w:r>
    </w:p>
    <w:p w14:paraId="41E9B0F5" w14:textId="331690F5" w:rsidR="00592021" w:rsidRDefault="00592021" w:rsidP="00592021">
      <w:r>
        <w:t>What Bulls / Bears Are Missing</w:t>
      </w:r>
    </w:p>
    <w:p w14:paraId="6D89C0B1" w14:textId="03C3D35C" w:rsidR="00592021" w:rsidRDefault="00592021" w:rsidP="00592021">
      <w:r>
        <w:t>Key Risks to Underwriting</w:t>
      </w:r>
    </w:p>
    <w:p w14:paraId="48C665F1" w14:textId="0A90276C" w:rsidR="00592021" w:rsidRDefault="00592021" w:rsidP="00592021">
      <w:r>
        <w:t>Where the Model Could Be Wrong</w:t>
      </w:r>
    </w:p>
    <w:p w14:paraId="3564D2D7" w14:textId="57451A26" w:rsidR="00592021" w:rsidRDefault="00592021" w:rsidP="00592021">
      <w:r>
        <w:t>What Evidence Would Disprove the Thesis</w:t>
      </w:r>
    </w:p>
    <w:p w14:paraId="33F8A835" w14:textId="77777777" w:rsidR="00592021" w:rsidRDefault="00592021" w:rsidP="00592021">
      <w:r>
        <w:t> </w:t>
      </w:r>
    </w:p>
    <w:p w14:paraId="6559D317" w14:textId="1108FB53" w:rsidR="00592021" w:rsidRDefault="00592021" w:rsidP="00592021">
      <w:r>
        <w:t>Catalysts and Monitoring Framework</w:t>
      </w:r>
    </w:p>
    <w:p w14:paraId="311C02B8" w14:textId="75BAB1D0" w:rsidR="00592021" w:rsidRDefault="00592021" w:rsidP="00592021">
      <w:r>
        <w:t>Near-Term Catalysts</w:t>
      </w:r>
    </w:p>
    <w:p w14:paraId="31984D4B" w14:textId="1644618A" w:rsidR="00592021" w:rsidRDefault="00592021" w:rsidP="00592021">
      <w:r>
        <w:t>Medium-Term Catalysts</w:t>
      </w:r>
    </w:p>
    <w:p w14:paraId="58942597" w14:textId="585EB10A" w:rsidR="00592021" w:rsidRDefault="00592021" w:rsidP="00592021">
      <w:r>
        <w:t>Key Dates and Milestones</w:t>
      </w:r>
    </w:p>
    <w:p w14:paraId="40FCC685" w14:textId="43BAB888" w:rsidR="00592021" w:rsidRDefault="00592021" w:rsidP="00592021">
      <w:r>
        <w:t>Earnings / Refinancing / Legal / Regulatory Watch Items</w:t>
      </w:r>
    </w:p>
    <w:p w14:paraId="301AA7AE" w14:textId="6D460275" w:rsidR="00592021" w:rsidRDefault="00592021" w:rsidP="00592021">
      <w:r>
        <w:t>Monitoring Dashboard</w:t>
      </w:r>
    </w:p>
    <w:p w14:paraId="4B765270" w14:textId="77777777" w:rsidR="00592021" w:rsidRDefault="00592021" w:rsidP="00592021">
      <w:r>
        <w:t> </w:t>
      </w:r>
    </w:p>
    <w:p w14:paraId="154561AA" w14:textId="31D94687" w:rsidR="00592021" w:rsidRDefault="00592021" w:rsidP="00592021">
      <w:r>
        <w:t>Trade Recommendation</w:t>
      </w:r>
    </w:p>
    <w:p w14:paraId="704D73B9" w14:textId="777384FA" w:rsidR="00592021" w:rsidRDefault="00592021" w:rsidP="00592021">
      <w:r>
        <w:t>Recommended Security</w:t>
      </w:r>
    </w:p>
    <w:p w14:paraId="27F23D7C" w14:textId="25C16627" w:rsidR="00592021" w:rsidRDefault="00592021" w:rsidP="00592021">
      <w:r>
        <w:t>Why This Security Is Best</w:t>
      </w:r>
    </w:p>
    <w:p w14:paraId="5570E4EC" w14:textId="0778BF69" w:rsidR="00592021" w:rsidRDefault="00592021" w:rsidP="00592021">
      <w:r>
        <w:lastRenderedPageBreak/>
        <w:t>Entry Considerations</w:t>
      </w:r>
    </w:p>
    <w:p w14:paraId="30379C03" w14:textId="3E53DF6F" w:rsidR="00592021" w:rsidRDefault="00592021" w:rsidP="00592021">
      <w:r>
        <w:t>Expected Return Profile</w:t>
      </w:r>
    </w:p>
    <w:p w14:paraId="34484979" w14:textId="32AF7952" w:rsidR="00592021" w:rsidRDefault="00592021" w:rsidP="00592021">
      <w:r>
        <w:t>Risk / Reward</w:t>
      </w:r>
    </w:p>
    <w:p w14:paraId="6EAE56CA" w14:textId="10CE0A05" w:rsidR="00592021" w:rsidRDefault="00592021" w:rsidP="00592021">
      <w:r>
        <w:t>Position Sizing Considerations</w:t>
      </w:r>
    </w:p>
    <w:p w14:paraId="2B3411EE" w14:textId="4B632361" w:rsidR="00592021" w:rsidRDefault="00592021" w:rsidP="00592021">
      <w:r>
        <w:t>Exit Criteria</w:t>
      </w:r>
    </w:p>
    <w:p w14:paraId="6ABBE75A" w14:textId="1ACCF8DB" w:rsidR="00096871" w:rsidRDefault="00592021" w:rsidP="00592021">
      <w:r>
        <w:t>Final Recommendation</w:t>
      </w:r>
    </w:p>
    <w:sectPr w:rsidR="00096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21"/>
    <w:rsid w:val="00096871"/>
    <w:rsid w:val="001305B9"/>
    <w:rsid w:val="00592021"/>
    <w:rsid w:val="00DA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7926"/>
  <w15:chartTrackingRefBased/>
  <w15:docId w15:val="{BCD954E3-5F08-45C0-A7A8-7C37872A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Guowei Zhang</dc:creator>
  <cp:keywords/>
  <dc:description/>
  <cp:lastModifiedBy>Guowei Zhang</cp:lastModifiedBy>
  <cp:revision>1</cp:revision>
  <dcterms:created xsi:type="dcterms:W3CDTF">2026-04-14T14:23:00Z</dcterms:created>
  <dcterms:modified xsi:type="dcterms:W3CDTF">2026-04-14T14:34:00Z</dcterms:modified>
</cp:coreProperties>
</file>