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kern w:val="0"/>
          <w:sz w:val="32"/>
          <w:szCs w:val="32"/>
          <w:lang w:val="en-US" w:eastAsia="zh-CN" w:bidi="ar"/>
        </w:rPr>
        <w:t>Android项目规范：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"http://blog.csdn.net/wwj_748/article/details/42347283"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http://blog.csdn.net/wwj_748/article/details/42347283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包命名规范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</w:p>
    <w:tbl>
      <w:tblPr>
        <w:tblW w:w="85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包名</w:t>
            </w:r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70C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activities</w:t>
            </w:r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页面用到的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类（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activities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层级用户界面）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.fragment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页面用到的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Fragment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.base</w:t>
            </w:r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页面中每个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类共享的可以写成一个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BaseActivity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类（基础共享的类）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.adapter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页面用到的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Adapter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类（适配器的类）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utils</w:t>
            </w:r>
            <w:bookmarkStart w:id="0" w:name="_GoBack"/>
            <w:bookmarkEnd w:id="0"/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此包中包含：公共工具方法类（包含日期、网络、存储、日志等工具类）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color w:val="0070C0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70C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model/domain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均可，个人喜好）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实体类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70C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db</w:t>
            </w:r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数据库操作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4256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.view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（或者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ui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自定义的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2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70C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service</w:t>
            </w:r>
          </w:p>
        </w:tc>
        <w:tc>
          <w:tcPr>
            <w:tcW w:w="4261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4256" w:type="dxa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com.xxx.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应用名称缩写</w:t>
            </w: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.broadcast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Broadcast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类命名规范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tbl>
      <w:tblPr>
        <w:tblW w:w="851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8"/>
        <w:gridCol w:w="2839"/>
        <w:gridCol w:w="283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例如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XXXApplication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闪屏页面类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SplashActivity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解析类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Handler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公共方法类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Utils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Manager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线程池管理类：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ThreadPoolManager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日志工具类：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LogUtils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数据库类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DBHelper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后缀标识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MySQLiteDBHelper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Service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播放服务：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PlayService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BroadcastReceiver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Broadcast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时间通知：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TimeBroadcast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ContentProvider</w:t>
            </w: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Provider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为后缀标识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单词内容提供者：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DictProvider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直接写的共享基础类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</w:t>
            </w:r>
          </w:p>
        </w:tc>
        <w:tc>
          <w:tcPr>
            <w:tcW w:w="283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BaseActivity,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BaseFragment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方法命名规范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方法（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methods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）：动词或动名词，采用小驼峰命名法，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onCreate(),run();</w:t>
      </w:r>
    </w:p>
    <w:tbl>
      <w:tblPr>
        <w:tblW w:w="851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656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initXX()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初始化相关方法，使用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为前缀标识，如初始化布局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initView()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isXX()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checkXX()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方法返回值为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型的请使用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getXX()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返回某个值的方法，使用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processXX()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对数据进行处理的方法，尽量使用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displayXX()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弹出提示框和提示信息，使用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saveXX()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与保存数据相关的，使用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save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resetXX()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对数据重组的，使用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前缀标识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clearXX()</w:t>
            </w: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清除数据相关的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removeXX()</w:t>
            </w:r>
          </w:p>
        </w:tc>
        <w:tc>
          <w:tcPr>
            <w:tcW w:w="6565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清除数据相关的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1" w:type="dxa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Style w:val="3"/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drawXXX()</w:t>
            </w:r>
          </w:p>
        </w:tc>
        <w:tc>
          <w:tcPr>
            <w:tcW w:w="6565" w:type="dxa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both"/>
              <w:rPr>
                <w:rFonts w:hint="default" w:ascii="Cambria" w:hAnsi="Cambria" w:eastAsia="Cambria" w:cs="Cambr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绘制数据或效果相关的，使用</w:t>
            </w:r>
            <w:r>
              <w:rPr>
                <w:rFonts w:hint="default" w:ascii="Cambria" w:hAnsi="Cambria" w:eastAsia="Cambria" w:cs="Cambr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draw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前缀标识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D7528"/>
    <w:rsid w:val="005774C8"/>
    <w:rsid w:val="501D75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2016-03-20T03:08:00Z</dcterms:created>
  <dc:creator>81419</dc:creator>
  <cp:lastModifiedBy>81419</cp:lastModifiedBy>
  <dcterms:modified xsi:type="dcterms:W3CDTF">2016-03-20T09:14:49Z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