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PURIFY 科技股份有限公司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員工手冊  Employee Handbook  v2025.1</w:t>
      </w:r>
    </w:p>
    <w:p>
      <w:pPr>
        <w:pBdr>
          <w:bottom w:val="single" w:color="2E75B6" w:sz="6" w:space="1"/>
        </w:pBdr>
        <w:spacing w:after="240" w:before="0"/>
      </w:pPr>
    </w:p>
    <w:p>
      <w:pPr>
        <w:pStyle w:val="Heading1"/>
      </w:pPr>
      <w:r>
        <w:t xml:space="preserve">第一章　公司文化與核心價值</w:t>
      </w:r>
    </w:p>
    <w:p>
      <w:pPr>
        <w:spacing w:after="120" w:before="0"/>
      </w:pPr>
      <w:r>
        <w:rPr>
          <w:color w:val="333333"/>
        </w:rPr>
        <w:t xml:space="preserve">PURIFY 致力於打造以人為本的工作環境，鼓勵員工發揮創意、勇於創新。我們的核心價值觀為：誠信、協作、卓越與永續。每位員工均應遵循以下行為準則，共同維護正向的企業文化。</w:t>
      </w:r>
    </w:p>
    <w:p>
      <w:pPr>
        <w:pStyle w:val="ListParagraph"/>
        <w:numPr>
          <w:ilvl w:val="0"/>
          <w:numId w:val="2"/>
        </w:numPr>
      </w:pPr>
      <w:r>
        <w:t xml:space="preserve">誠信優先：言行一致，對內對外保持透明溝通</w:t>
      </w:r>
    </w:p>
    <w:p>
      <w:pPr>
        <w:pStyle w:val="ListParagraph"/>
        <w:numPr>
          <w:ilvl w:val="0"/>
          <w:numId w:val="2"/>
        </w:numPr>
      </w:pPr>
      <w:r>
        <w:t xml:space="preserve">協作共贏：跨部門合作，以集體目標優先於個人績效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永續發展：在業務決策中納入環境與社會責任考量</w:t>
      </w:r>
    </w:p>
    <w:p>
      <w:pPr>
        <w:pStyle w:val="Heading1"/>
      </w:pPr>
      <w:r>
        <w:t xml:space="preserve">第二章　工作規範與出勤管理</w:t>
      </w:r>
    </w:p>
    <w:p>
      <w:pPr>
        <w:pStyle w:val="Heading2"/>
      </w:pPr>
      <w:r>
        <w:t xml:space="preserve">2.1 正常工時</w:t>
      </w:r>
    </w:p>
    <w:p>
      <w:pPr>
        <w:spacing w:after="120" w:before="0"/>
      </w:pPr>
      <w:r>
        <w:rPr>
          <w:color w:val="333333"/>
        </w:rPr>
        <w:t xml:space="preserve">標準工作時間為週一至週五，上午 09:00 至下午 18:00，午休 12:00–13:00。彈性工作制員工可於核准範圍內調整上下班時間，惟核心工時（10:00–16:00）須全員在線。</w:t>
      </w:r>
    </w:p>
    <w:p>
      <w:pPr>
        <w:pStyle w:val="Heading2"/>
      </w:pPr>
      <w:r>
        <w:t xml:space="preserve">2.2 請假規定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2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假別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天數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備註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特休假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7–30 天（依年資）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到職滿 6 個月起適用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病假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天（含薪）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超出部分轉事假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婚假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天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結婚前後 30 日內申請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育嬰假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最長 2 年（無薪）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子女未滿 3 歲可申請</w:t>
            </w:r>
          </w:p>
        </w:tc>
      </w:tr>
    </w:tbl>
    <w:p>
      <w:pPr>
        <w:pStyle w:val="Heading1"/>
        <w:spacing w:before="240"/>
      </w:pPr>
      <w:r>
        <w:t xml:space="preserve">第三章　薪酬與福利</w:t>
      </w:r>
    </w:p>
    <w:p>
      <w:pPr>
        <w:spacing w:after="100" w:before="0"/>
      </w:pPr>
      <w:r>
        <w:rPr>
          <w:color w:val="333333"/>
        </w:rPr>
        <w:t xml:space="preserve">薪資每月 15 日匯入員工指定帳戶，含底薪、職務加給及績效獎金三部分。公司依法提撥勞工退休金 6%，並額外補助員工健身房會員費用，每年最高補助新台幣 6,000 元。</w:t>
      </w:r>
    </w:p>
    <w:p>
      <w:pPr>
        <w:pBdr>
          <w:top w:val="single" w:color="AAAAAA" w:sz="4" w:space="1"/>
        </w:pBdr>
        <w:spacing w:after="0" w:before="3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本手冊最終解釋權歸 PURIFY 科技股份有限公司人力資源部所有　|　2025 年 1 月版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2026-03-28T07:10:31.608Z</dcterms:created>
  <dcterms:modified xsi:type="dcterms:W3CDTF">2026-03-28T07:10:31.608Z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