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  <w:pBdr>
          <w:bottom w:val="single" w:sz="18" w:space="1" w:color="C00000"/>
        </w:pBdr>
      </w:pPr>
      <w:r>
        <w:rPr>
          <w:rFonts w:ascii="Times New Roman" w:hAnsi="Times New Roman" w:eastAsia="SimSun"/>
          <w:b/>
          <w:color w:val="C00000"/>
          <w:sz w:val="48"/>
        </w:rPr>
        <w:t>重庆市西部产教融合研究院</w:t>
      </w:r>
    </w:p>
    <w:p>
      <w:pPr>
        <w:spacing w:before="200" w:after="280"/>
        <w:jc w:val="center"/>
      </w:pPr>
      <w:r>
        <w:rPr>
          <w:rFonts w:ascii="Times New Roman" w:hAnsi="Times New Roman" w:eastAsia="SimHei"/>
          <w:b/>
          <w:color w:val="000000"/>
          <w:sz w:val="34"/>
        </w:rPr>
        <w:t>关于《智能网联新能源汽车测试技术产教融合项目合作协议》</w:t>
        <w:br/>
        <w:t>法务审核意见的回复函</w:t>
      </w:r>
    </w:p>
    <w:p>
      <w:pPr>
        <w:spacing w:before="0" w:after="0" w:line="440" w:lineRule="exact"/>
        <w:jc w:val="left"/>
      </w:pPr>
      <w:r>
        <w:rPr>
          <w:rFonts w:ascii="Times New Roman" w:hAnsi="Times New Roman" w:eastAsia="SimSun"/>
          <w:b w:val="0"/>
          <w:color w:val="000000"/>
          <w:sz w:val="22"/>
        </w:rPr>
        <w:t>招商局检测车辆技术研究院有限公司：</w:t>
      </w:r>
    </w:p>
    <w:p>
      <w:pPr>
        <w:spacing w:before="0" w:after="0" w:line="440" w:lineRule="exact"/>
        <w:ind w:firstLine="440"/>
        <w:jc w:val="both"/>
      </w:pPr>
      <w:r>
        <w:rPr>
          <w:rFonts w:ascii="Times New Roman" w:hAnsi="Times New Roman" w:eastAsia="SimSun"/>
          <w:b w:val="0"/>
          <w:color w:val="000000"/>
          <w:sz w:val="22"/>
        </w:rPr>
        <w:t>贵司法务团队对《智能网联新能源汽车测试技术产教融合项目合作协议》提出的审核意见已收悉。感谢贵司对协议文本和合作风险的认真审核。我院已结合双方前期沟通情况及后续项目实施需要，对相关意见进行了逐项研究。</w:t>
      </w:r>
    </w:p>
    <w:p>
      <w:pPr>
        <w:spacing w:before="0" w:after="0" w:line="440" w:lineRule="exact"/>
        <w:ind w:firstLine="440"/>
        <w:jc w:val="both"/>
      </w:pPr>
      <w:r>
        <w:rPr>
          <w:rFonts w:ascii="Times New Roman" w:hAnsi="Times New Roman" w:eastAsia="SimSun"/>
          <w:b w:val="0"/>
          <w:color w:val="000000"/>
          <w:sz w:val="22"/>
        </w:rPr>
        <w:t>总体上，我院认同进一步明确合作边界、规范项目实施、加强技术资料和知识产权保护、防范双方履约风险的审核思路，也赞同继续采用“框架协议＋一校一议、一项一签”的合作方式。在不改变原协议精简框架的基础上，我院已形成修订标记版协议，红色文字为本轮新增或调整内容，供贵司法务直接对照审阅。</w:t>
      </w:r>
    </w:p>
    <w:p>
      <w:pPr>
        <w:keepNext/>
        <w:spacing w:before="100" w:after="20" w:line="440" w:lineRule="exact"/>
        <w:jc w:val="left"/>
      </w:pPr>
      <w:r>
        <w:rPr>
          <w:rFonts w:ascii="Times New Roman" w:hAnsi="Times New Roman" w:eastAsia="SimHei"/>
          <w:b/>
          <w:color w:val="000000"/>
          <w:sz w:val="23"/>
        </w:rPr>
        <w:t>一、关于本轮修订的基本原则</w:t>
      </w:r>
    </w:p>
    <w:p>
      <w:pPr>
        <w:spacing w:before="0" w:after="0" w:line="440" w:lineRule="exact"/>
        <w:ind w:firstLine="440"/>
        <w:jc w:val="both"/>
      </w:pPr>
      <w:r>
        <w:rPr>
          <w:rFonts w:ascii="Times New Roman" w:hAnsi="Times New Roman" w:eastAsia="SimSun"/>
          <w:b w:val="0"/>
          <w:color w:val="000000"/>
          <w:sz w:val="22"/>
        </w:rPr>
        <w:t>本轮修订坚持“权责对等、边界清晰、框架精简、具体项目另签”的原则。对贵司提出的规范信息披露、技术资料保护、品牌及资质使用、条款编号等合理意见原则采纳；对涉及双方核心权益的事项，重点从责任对等和项目可执行角度作了平衡完善。</w:t>
      </w:r>
    </w:p>
    <w:p>
      <w:pPr>
        <w:keepNext/>
        <w:spacing w:before="100" w:after="20" w:line="440" w:lineRule="exact"/>
        <w:jc w:val="left"/>
      </w:pPr>
      <w:r>
        <w:rPr>
          <w:rFonts w:ascii="Times New Roman" w:hAnsi="Times New Roman" w:eastAsia="SimHei"/>
          <w:b/>
          <w:color w:val="000000"/>
          <w:sz w:val="23"/>
        </w:rPr>
        <w:t>二、重点完善事项</w:t>
      </w:r>
    </w:p>
    <w:p>
      <w:pPr>
        <w:spacing w:before="0" w:after="0" w:line="440" w:lineRule="exact"/>
        <w:jc w:val="both"/>
      </w:pPr>
      <w:r>
        <w:rPr>
          <w:rFonts w:ascii="Times New Roman" w:hAnsi="Times New Roman" w:eastAsia="SimSun"/>
          <w:b w:val="0"/>
          <w:color w:val="000000"/>
          <w:sz w:val="22"/>
        </w:rPr>
        <w:t>1. 双方职责对等。进一步明确甲方在技术资料、报价、设备交付、技术培训、售后及技术验收等方面的责任，同时明确乙方在院校合作拓展、需求对接、教育方案和成果建设方面的责任；未经专项书面授权，双方均不得代表对方作出承诺。</w:t>
      </w:r>
    </w:p>
    <w:p>
      <w:pPr>
        <w:spacing w:before="0" w:after="0" w:line="440" w:lineRule="exact"/>
        <w:jc w:val="both"/>
      </w:pPr>
      <w:r>
        <w:rPr>
          <w:rFonts w:ascii="Times New Roman" w:hAnsi="Times New Roman" w:eastAsia="SimSun"/>
          <w:b w:val="0"/>
          <w:color w:val="000000"/>
          <w:sz w:val="22"/>
        </w:rPr>
        <w:t>2. 项目开发保护。保留24个月项目保护期，补充存量项目、独立开发项目和共同开发项目的客观认定及书面登记机制，并对保护期内已实质推进项目作延续安排。</w:t>
      </w:r>
    </w:p>
    <w:p>
      <w:pPr>
        <w:spacing w:before="0" w:after="0" w:line="440" w:lineRule="exact"/>
        <w:jc w:val="both"/>
      </w:pPr>
      <w:r>
        <w:rPr>
          <w:rFonts w:ascii="Times New Roman" w:hAnsi="Times New Roman" w:eastAsia="SimSun"/>
          <w:b w:val="0"/>
          <w:color w:val="000000"/>
          <w:sz w:val="22"/>
        </w:rPr>
        <w:t>3. 费用与结算。一致坚持框架协议不承诺任何一方固定收益；具体学校项目再通过《具体学校项目合作确认书》或专项合同明确设备技术费用、项目策划咨询及教育成果服务费用、支付节点、成本承担和开票结算。</w:t>
      </w:r>
    </w:p>
    <w:p>
      <w:pPr>
        <w:spacing w:before="0" w:after="0" w:line="440" w:lineRule="exact"/>
        <w:jc w:val="both"/>
      </w:pPr>
      <w:r>
        <w:rPr>
          <w:rFonts w:ascii="Times New Roman" w:hAnsi="Times New Roman" w:eastAsia="SimSun"/>
          <w:b w:val="0"/>
          <w:color w:val="000000"/>
          <w:sz w:val="22"/>
        </w:rPr>
        <w:t>4. 知识产权与双向保密。双方原有知识产权仍归原权利人；共同成果在具体项目中另行约定；技术资料、院校线索、需求数据、项目方案等均纳入对等保密范围。</w:t>
      </w:r>
    </w:p>
    <w:p>
      <w:pPr>
        <w:spacing w:before="0" w:after="0" w:line="440" w:lineRule="exact"/>
        <w:jc w:val="both"/>
      </w:pPr>
      <w:r>
        <w:rPr>
          <w:rFonts w:ascii="Times New Roman" w:hAnsi="Times New Roman" w:eastAsia="SimSun"/>
          <w:b w:val="0"/>
          <w:color w:val="000000"/>
          <w:sz w:val="22"/>
        </w:rPr>
        <w:t>5. 违约与合规。按照权责一致、过错与责任相适应原则处理违约责任；一般履约责任由具体项目约定，重大违法违约依法承担责任。同时增加学校采购、招投标及廉洁合规要求。</w:t>
      </w:r>
    </w:p>
    <w:p>
      <w:pPr>
        <w:spacing w:before="0" w:after="0" w:line="440" w:lineRule="exact"/>
        <w:jc w:val="both"/>
      </w:pPr>
      <w:r>
        <w:rPr>
          <w:rFonts w:ascii="Times New Roman" w:hAnsi="Times New Roman" w:eastAsia="SimSun"/>
          <w:b w:val="0"/>
          <w:color w:val="000000"/>
          <w:sz w:val="22"/>
        </w:rPr>
        <w:t>6. 争议解决。将原“协议签署地法院”调整为“被告住所地有管辖权的人民法院”，保持双方程序权利平衡。</w:t>
      </w:r>
    </w:p>
    <w:p>
      <w:pPr>
        <w:keepNext/>
        <w:spacing w:before="100" w:after="20" w:line="440" w:lineRule="exact"/>
        <w:jc w:val="left"/>
      </w:pPr>
      <w:r>
        <w:rPr>
          <w:rFonts w:ascii="Times New Roman" w:hAnsi="Times New Roman" w:eastAsia="SimHei"/>
          <w:b/>
          <w:color w:val="000000"/>
          <w:sz w:val="23"/>
        </w:rPr>
        <w:t>三、后续建议</w:t>
      </w:r>
    </w:p>
    <w:p>
      <w:pPr>
        <w:spacing w:before="0" w:after="0" w:line="440" w:lineRule="exact"/>
        <w:ind w:firstLine="440"/>
        <w:jc w:val="both"/>
      </w:pPr>
      <w:r>
        <w:rPr>
          <w:rFonts w:ascii="Times New Roman" w:hAnsi="Times New Roman" w:eastAsia="SimSun"/>
          <w:b w:val="0"/>
          <w:color w:val="000000"/>
          <w:sz w:val="22"/>
        </w:rPr>
        <w:t>建议双方以随函修订标记版为基础，由业务和法务对接人员直接对照修改。框架协议尽量保持精简，后续具体学校项目继续实行“一校一签”，将项目任务、采购方式、费用结算、成果交付和风险责任在具体项目文件中落实。</w:t>
      </w:r>
    </w:p>
    <w:p>
      <w:pPr>
        <w:spacing w:before="0" w:after="0" w:line="440" w:lineRule="exact"/>
        <w:ind w:firstLine="440"/>
        <w:jc w:val="both"/>
      </w:pPr>
      <w:r>
        <w:rPr>
          <w:rFonts w:ascii="Times New Roman" w:hAnsi="Times New Roman" w:eastAsia="SimSun"/>
          <w:b w:val="0"/>
          <w:color w:val="000000"/>
          <w:sz w:val="22"/>
        </w:rPr>
        <w:t>我院重视与贵司的长期合作，也希望通过本轮法务审核把双方权利义务和合作边界进一步厘清，为后续产业学院及其他产教融合项目顺利推进奠定基础。</w:t>
      </w:r>
    </w:p>
    <w:p>
      <w:pPr>
        <w:spacing w:before="360"/>
        <w:jc w:val="right"/>
      </w:pPr>
      <w:r>
        <w:rPr>
          <w:rFonts w:ascii="Times New Roman" w:hAnsi="Times New Roman" w:eastAsia="SimSun"/>
          <w:b w:val="0"/>
          <w:color w:val="000000"/>
          <w:sz w:val="22"/>
        </w:rPr>
        <w:t>重庆市西部产教融合研究院</w:t>
      </w:r>
    </w:p>
    <w:p>
      <w:pPr>
        <w:jc w:val="right"/>
      </w:pPr>
      <w:r>
        <w:rPr>
          <w:rFonts w:ascii="Times New Roman" w:hAnsi="Times New Roman" w:eastAsia="SimSun"/>
          <w:b w:val="0"/>
          <w:color w:val="000000"/>
          <w:sz w:val="22"/>
        </w:rPr>
        <w:t>2026年8月18日</w:t>
      </w:r>
    </w:p>
    <w:sectPr w:rsidR="00FC693F" w:rsidRPr="0006063C" w:rsidSect="00034616">
      <w:footerReference w:type="default" r:id="rId9"/>
      <w:pgSz w:w="11906" w:h="16838"/>
      <w:pgMar w:top="1474" w:right="1474" w:bottom="1361" w:left="158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/>
        <w:b w:val="0"/>
        <w:color w:val="666666"/>
        <w:sz w:val="18"/>
      </w:rPr>
      <w:t xml:space="preserve">— </w:t>
      <w:fldChar w:fldCharType="begin"/>
      <w:instrText xml:space="preserve"> PAGE </w:instrText>
      <w:fldChar w:fldCharType="end"/>
    </w:r>
    <w:r>
      <w:rPr>
        <w:rFonts w:ascii="Times New Roman" w:hAnsi="Times New Roman" w:eastAsia="SimSun"/>
        <w:b w:val="0"/>
        <w:color w:val="666666"/>
        <w:sz w:val="1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