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业务开办合规审核一票否决条款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虚拟素材说明：本文档为AI培训毕业设计所用虚拟政企业务规范素材，仅用于系统测试、检索、问答和合规编审演示，不代表任何真实运营商制度、真实资费或真实业务政策。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适用范围：本规范适用于政企专线、企业互联网宽带、云专网和跨地域组网专线业务的AI问答、流程检索、合规审查和教学演示。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文档用途：作为本地知识库唯一素材的一部分，供向量检索、GraphRAG实体关系检索和LangGraph问答流程使用。</w:t>
      </w:r>
    </w:p>
    <w:p>
      <w:pPr>
        <w:pStyle w:val="Heading1"/>
      </w:pPr>
      <w:r>
        <w:t>一、总则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本条款用于规范政企专线、云专网、企业互联网宽带和跨地域组网专线业务开办过程中的合规审核要求。合规审核是客户准入和业务受理之后、合同签署和开通实施之前的强制控制环节。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一票否决是指一旦发现特定严重风险或关键材料缺陷，即使其他条件满足，也不得继续办理业务开通。系统回答合规审核问题时，不得弱化一票否决效力，不得建议绕过审核。</w:t>
      </w:r>
    </w:p>
    <w:p>
      <w:pPr>
        <w:pStyle w:val="Heading1"/>
      </w:pPr>
      <w:r>
        <w:t>二、一票否决情形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出现以下任一情形，应判定为一票否决，业务不得开通，工单应退回或终止，并记录否决原因。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客户主体无法核验，营业执照、组织证明或身份证明无效、过期、伪造或与合同主体不一致。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经办人无有效授权，无法证明其代表客户申请、签署或确认业务。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客户明确或疑似将专线用于违法经营、非法转售、违规代理接入、逃避监管或其他不合规用途。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装机地址虚假、无法联系、无法勘查，或实际使用地址与合同地址不一致且无合理证明。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客户拒绝提供必要材料，或要求先开通后补材料。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资费方案、合同主体、业务类型和开通工单之间存在明显不一致且无法解释。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后台风险记录显示客户存在严重欠费、冒名办理、虚假资料、恶意退订且未解除风险。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一票否决不是普通退回补正。普通缺件可以补充材料后重新提交，一票否决必须由合规审核人员记录否决依据，必要时加入风险提示。</w:t>
      </w:r>
    </w:p>
    <w:p>
      <w:pPr>
        <w:pStyle w:val="Heading1"/>
      </w:pPr>
      <w:r>
        <w:t>三、审核材料要求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合规审核人员应重点检查客户主体、授权关系、业务用途、接入地址、合同一致性、资费审批、历史风险和工单留痕。审核意见应明确写入系统，不得使用“看起来可以”“应该没问题”等模糊表述。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审核材料应包括客户准入材料、业务申请单、合同草案、资费方案、资源勘查结果、客户经理初审意见和风险提示记录。涉及跨地域组网或云专网的，应增加网络拓扑、节点清单和技术方案说明。</w:t>
      </w:r>
    </w:p>
    <w:p>
      <w:pPr>
        <w:pStyle w:val="Heading1"/>
      </w:pPr>
      <w:r>
        <w:t>四、资费与合同合规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资费方案必须与知识库资费套餐标准、审批结果和合同期限一致。客户经理不得在合同外私自承诺赠送、返现、免月费、低价长期锁定或其他未审批优惠。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合同主体应与客户准入主体一致。若存在集团母公司签约、分公司使用、多地节点共享等情形，应补充授权关系和使用主体说明。缺少说明的，应退回补正或转风险复核。</w:t>
      </w:r>
    </w:p>
    <w:p>
      <w:pPr>
        <w:pStyle w:val="Heading1"/>
      </w:pPr>
      <w:r>
        <w:t>五、业务变更合规联动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带宽变更、地址迁移、合同主体变更、服务等级变更等业务变更，不能简单视为原业务延续。若变更影响客户主体、装机地址、资费方案、资源条件或业务用途，应重新触发合规审核。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地址迁移时，应重新核验新地址是否真实可装、是否与合同一致、是否存在跨区域资源限制。带宽上调时，应核验客户用途、资费审批和资源能力。合同主体变更时，应重新核验准入资质和授权关系。</w:t>
      </w:r>
    </w:p>
    <w:p>
      <w:pPr>
        <w:pStyle w:val="Heading1"/>
      </w:pPr>
      <w:r>
        <w:t>六、故障与投诉合规联动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故障报修本身通常不属于业务开办合规审核，但若故障处理过程中发现线路实际使用主体、地址、用途与合同不一致，应记录异常并移交后台复核。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客户投诉涉及虚假承诺、未经审批优惠、先开通后补材料或私自变更资费的，应作为合规风险事件处理。</w:t>
      </w:r>
    </w:p>
    <w:p>
      <w:pPr>
        <w:pStyle w:val="Heading1"/>
      </w:pPr>
      <w:r>
        <w:t>七、退订销户合规联动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退订销户前应核验合同期限、欠费状态、设备回收、客户确认和业务关联关系。客户存在未结清费用或未归还设备的，不得直接完成销户。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退订销户不是规避欠费或合同责任的手段。若客户存在历史恶意退订或争议订单，应纳入再次办理时的合规审核。</w:t>
      </w:r>
    </w:p>
    <w:p>
      <w:pPr>
        <w:pStyle w:val="Heading1"/>
      </w:pPr>
      <w:r>
        <w:t>八、示例问答支撑片段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客户问“资料不全能否先开通”时，应回答：</w:t>
      </w:r>
      <w:r>
        <w:rPr>
          <w:rFonts w:ascii="Microsoft YaHei" w:hAnsi="Microsoft YaHei" w:eastAsia="Microsoft YaHei"/>
          <w:b w:val="0"/>
          <w:sz w:val="22"/>
        </w:rPr>
        <w:t>不得先开通后补材料，客户拒绝提供必要材料属于一票否决或至少应退回补正。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客户问“地址迁移是否要重新审核”时，应回答：</w:t>
      </w:r>
      <w:r>
        <w:rPr>
          <w:rFonts w:ascii="Microsoft YaHei" w:hAnsi="Microsoft YaHei" w:eastAsia="Microsoft YaHei"/>
          <w:b w:val="0"/>
          <w:sz w:val="22"/>
        </w:rPr>
        <w:t>地址迁移影响装机地址和资源条件，应重新核验地址真实性、合同一致性和资源条件。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客户问“欠费客户能否销户”时，应回答：</w:t>
      </w:r>
      <w:r>
        <w:rPr>
          <w:rFonts w:ascii="Microsoft YaHei" w:hAnsi="Microsoft YaHei" w:eastAsia="Microsoft YaHei"/>
          <w:b w:val="0"/>
          <w:sz w:val="22"/>
        </w:rPr>
        <w:t>退订销户前应核验欠费状态，存在未结清费用时不得直接完成销户。</w:t>
      </w:r>
    </w:p>
    <w:p>
      <w:pPr>
        <w:pStyle w:val="Heading2"/>
      </w:pPr>
      <w:r>
        <w:t>一票否决条款摘要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否决项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风险说明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处理方式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主体无法核验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客户身份或签约主体不真实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终止开办并记录原因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授权无效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经办人不能代表客户办理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退回补授权或否决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用途违法违规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疑似非法转售或逃避监管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一票否决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地址虚假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装机地址无法核验或合同不一致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暂停受理并复核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严重欠费风险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历史严重欠费或恶意退订未解除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转后台风险复核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