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36"/>
        </w:rPr>
        <w:t>专线带宽变更与地址迁移管理规范</w:t>
      </w:r>
    </w:p>
    <w:p>
      <w:pPr>
        <w:spacing w:line="300" w:lineRule="auto" w:after="120"/>
      </w:pPr>
      <w:r>
        <w:rPr>
          <w:rFonts w:ascii="Microsoft YaHei" w:hAnsi="Microsoft YaHei" w:eastAsia="Microsoft YaHei"/>
          <w:b w:val="0"/>
          <w:sz w:val="22"/>
        </w:rPr>
        <w:t>虚拟素材说明：本文档为AI培训毕业设计所用虚拟政企业务规范素材，仅用于系统测试、检索、问答和合规编审演示，不代表任何真实运营商制度、真实资费或真实业务政策。</w:t>
      </w:r>
    </w:p>
    <w:p>
      <w:pPr>
        <w:spacing w:line="300" w:lineRule="auto" w:after="120"/>
      </w:pPr>
      <w:r>
        <w:rPr>
          <w:rFonts w:ascii="Microsoft YaHei" w:hAnsi="Microsoft YaHei" w:eastAsia="Microsoft YaHei"/>
          <w:b w:val="0"/>
          <w:sz w:val="22"/>
        </w:rPr>
        <w:t>适用范围：本规范适用于政企专线、企业互联网宽带、云专网和跨地域组网专线业务的AI问答、流程检索、合规审查和教学演示。</w:t>
      </w:r>
    </w:p>
    <w:p>
      <w:pPr>
        <w:spacing w:line="300" w:lineRule="auto" w:after="120"/>
      </w:pPr>
      <w:r>
        <w:rPr>
          <w:rFonts w:ascii="Microsoft YaHei" w:hAnsi="Microsoft YaHei" w:eastAsia="Microsoft YaHei"/>
          <w:b w:val="0"/>
          <w:sz w:val="22"/>
        </w:rPr>
        <w:t>文档用途：作为本地知识库唯一素材的一部分，供向量检索、GraphRAG实体关系检索和LangGraph问答流程使用。</w:t>
      </w:r>
    </w:p>
    <w:p>
      <w:pPr>
        <w:pStyle w:val="Heading1"/>
      </w:pPr>
      <w:r>
        <w:t>一、总则</w:t>
      </w:r>
    </w:p>
    <w:p>
      <w:pPr>
        <w:spacing w:line="300" w:lineRule="auto" w:after="120"/>
      </w:pPr>
      <w:r>
        <w:rPr>
          <w:rFonts w:ascii="Microsoft YaHei" w:hAnsi="Microsoft YaHei" w:eastAsia="Microsoft YaHei"/>
          <w:b w:val="0"/>
          <w:sz w:val="22"/>
        </w:rPr>
        <w:t>本规范用于明确政企专线、企业互联网宽带、云专网和跨地域组网专线在合同期内发生带宽变更、地址迁移、服务等级调整、接入方式调整时的管理要求。业务变更既涉及客户需求，也涉及资源、资费、合同和合规审核。</w:t>
      </w:r>
    </w:p>
    <w:p>
      <w:pPr>
        <w:spacing w:line="300" w:lineRule="auto" w:after="120"/>
      </w:pPr>
      <w:r>
        <w:rPr>
          <w:rFonts w:ascii="Microsoft YaHei" w:hAnsi="Microsoft YaHei" w:eastAsia="Microsoft YaHei"/>
          <w:b w:val="0"/>
          <w:sz w:val="22"/>
        </w:rPr>
        <w:t>业务变更不得简单视为原订单备注修改。凡变更影响带宽、装机地址、线路资源、客户主体、资费套餐或服务等级的，应生成独立变更工单，并保留客户确认记录。</w:t>
      </w:r>
    </w:p>
    <w:p>
      <w:pPr>
        <w:pStyle w:val="Heading1"/>
      </w:pPr>
      <w:r>
        <w:t>二、带宽变更规则</w:t>
      </w:r>
    </w:p>
    <w:p>
      <w:pPr>
        <w:spacing w:line="300" w:lineRule="auto" w:after="120"/>
      </w:pPr>
      <w:r>
        <w:rPr>
          <w:rFonts w:ascii="Microsoft YaHei" w:hAnsi="Microsoft YaHei" w:eastAsia="Microsoft YaHei"/>
          <w:b w:val="0"/>
          <w:sz w:val="22"/>
        </w:rPr>
        <w:t>带宽变更分为带宽升档、带宽降档和临时带宽调整。带宽升档通常涉及资源能力、资费变更和合同补充；带宽降档可能涉及合同期限、最低消费和优惠条件变化；临时带宽调整应明确开始时间、结束时间和恢复规则。</w:t>
      </w:r>
    </w:p>
    <w:p>
      <w:pPr>
        <w:pStyle w:val="ListNumber"/>
        <w:spacing w:line="288" w:lineRule="auto"/>
      </w:pPr>
      <w:r>
        <w:rPr>
          <w:rFonts w:ascii="Microsoft YaHei" w:hAnsi="Microsoft YaHei" w:eastAsia="Microsoft YaHei"/>
          <w:b w:val="0"/>
          <w:sz w:val="22"/>
        </w:rPr>
        <w:t>客户提出带宽变更申请后，客户经理应确认客户名称、线路编号、原带宽、目标带宽、变更原因和期望生效时间。</w:t>
      </w:r>
    </w:p>
    <w:p>
      <w:pPr>
        <w:pStyle w:val="ListNumber"/>
        <w:spacing w:line="288" w:lineRule="auto"/>
      </w:pPr>
      <w:r>
        <w:rPr>
          <w:rFonts w:ascii="Microsoft YaHei" w:hAnsi="Microsoft YaHei" w:eastAsia="Microsoft YaHei"/>
          <w:b w:val="0"/>
          <w:sz w:val="22"/>
        </w:rPr>
        <w:t>系统查询资源能力，确认原接入方式是否支持目标带宽。</w:t>
      </w:r>
    </w:p>
    <w:p>
      <w:pPr>
        <w:pStyle w:val="ListNumber"/>
        <w:spacing w:line="288" w:lineRule="auto"/>
      </w:pPr>
      <w:r>
        <w:rPr>
          <w:rFonts w:ascii="Microsoft YaHei" w:hAnsi="Microsoft YaHei" w:eastAsia="Microsoft YaHei"/>
          <w:b w:val="0"/>
          <w:sz w:val="22"/>
        </w:rPr>
        <w:t>根据目标带宽匹配资费套餐，形成变更报价或补充协议。</w:t>
      </w:r>
    </w:p>
    <w:p>
      <w:pPr>
        <w:pStyle w:val="ListNumber"/>
        <w:spacing w:line="288" w:lineRule="auto"/>
      </w:pPr>
      <w:r>
        <w:rPr>
          <w:rFonts w:ascii="Microsoft YaHei" w:hAnsi="Microsoft YaHei" w:eastAsia="Microsoft YaHei"/>
          <w:b w:val="0"/>
          <w:sz w:val="22"/>
        </w:rPr>
        <w:t>带宽升档、跨档优惠或合同金额变化时，应进入资费审批和合规审核。</w:t>
      </w:r>
    </w:p>
    <w:p>
      <w:pPr>
        <w:pStyle w:val="ListNumber"/>
        <w:spacing w:line="288" w:lineRule="auto"/>
      </w:pPr>
      <w:r>
        <w:rPr>
          <w:rFonts w:ascii="Microsoft YaHei" w:hAnsi="Microsoft YaHei" w:eastAsia="Microsoft YaHei"/>
          <w:b w:val="0"/>
          <w:sz w:val="22"/>
        </w:rPr>
        <w:t>审核通过后生成变更工单，由网络或交付人员实施配置调整。</w:t>
      </w:r>
    </w:p>
    <w:p>
      <w:pPr>
        <w:pStyle w:val="ListNumber"/>
        <w:spacing w:line="288" w:lineRule="auto"/>
      </w:pPr>
      <w:r>
        <w:rPr>
          <w:rFonts w:ascii="Microsoft YaHei" w:hAnsi="Microsoft YaHei" w:eastAsia="Microsoft YaHei"/>
          <w:b w:val="0"/>
          <w:sz w:val="22"/>
        </w:rPr>
        <w:t>变更完成后进行速率测试、客户确认和资料归档。</w:t>
      </w:r>
    </w:p>
    <w:p>
      <w:pPr>
        <w:spacing w:line="300" w:lineRule="auto" w:after="120"/>
      </w:pPr>
      <w:r>
        <w:rPr>
          <w:rFonts w:ascii="Microsoft YaHei" w:hAnsi="Microsoft YaHei" w:eastAsia="Microsoft YaHei"/>
          <w:b w:val="0"/>
          <w:sz w:val="22"/>
        </w:rPr>
        <w:t>客户仅要求“临时提速”但拒绝确认费用或生效期限的，不得直接实施。带宽变更后，原合同优惠条件可能需要重新确认。</w:t>
      </w:r>
    </w:p>
    <w:p>
      <w:pPr>
        <w:pStyle w:val="Heading1"/>
      </w:pPr>
      <w:r>
        <w:t>三、地址迁移规则</w:t>
      </w:r>
    </w:p>
    <w:p>
      <w:pPr>
        <w:spacing w:line="300" w:lineRule="auto" w:after="120"/>
      </w:pPr>
      <w:r>
        <w:rPr>
          <w:rFonts w:ascii="Microsoft YaHei" w:hAnsi="Microsoft YaHei" w:eastAsia="Microsoft YaHei"/>
          <w:b w:val="0"/>
          <w:sz w:val="22"/>
        </w:rPr>
        <w:t>地址迁移是指客户在合同期内将专线接入点从原装机地址迁移至新地址。地址迁移会影响资源可用性、施工条件、合同地址、开通时限和合规审核，因此应作为重点变更事项管理。</w:t>
      </w:r>
    </w:p>
    <w:p>
      <w:pPr>
        <w:pStyle w:val="ListNumber"/>
        <w:spacing w:line="288" w:lineRule="auto"/>
      </w:pPr>
      <w:r>
        <w:rPr>
          <w:rFonts w:ascii="Microsoft YaHei" w:hAnsi="Microsoft YaHei" w:eastAsia="Microsoft YaHei"/>
          <w:b w:val="0"/>
          <w:sz w:val="22"/>
        </w:rPr>
        <w:t>客户提交地址迁移申请，说明原地址、新地址、迁移原因、期望迁移时间和联系人。</w:t>
      </w:r>
    </w:p>
    <w:p>
      <w:pPr>
        <w:pStyle w:val="ListNumber"/>
        <w:spacing w:line="288" w:lineRule="auto"/>
      </w:pPr>
      <w:r>
        <w:rPr>
          <w:rFonts w:ascii="Microsoft YaHei" w:hAnsi="Microsoft YaHei" w:eastAsia="Microsoft YaHei"/>
          <w:b w:val="0"/>
          <w:sz w:val="22"/>
        </w:rPr>
        <w:t>客户经理核验新地址是否属于同一客户使用，是否具备经营或办公证明。</w:t>
      </w:r>
    </w:p>
    <w:p>
      <w:pPr>
        <w:pStyle w:val="ListNumber"/>
        <w:spacing w:line="288" w:lineRule="auto"/>
      </w:pPr>
      <w:r>
        <w:rPr>
          <w:rFonts w:ascii="Microsoft YaHei" w:hAnsi="Microsoft YaHei" w:eastAsia="Microsoft YaHei"/>
          <w:b w:val="0"/>
          <w:sz w:val="22"/>
        </w:rPr>
        <w:t>资源部门进行新地址资源勘查，确认是否支持原带宽和服务等级。</w:t>
      </w:r>
    </w:p>
    <w:p>
      <w:pPr>
        <w:pStyle w:val="ListNumber"/>
        <w:spacing w:line="288" w:lineRule="auto"/>
      </w:pPr>
      <w:r>
        <w:rPr>
          <w:rFonts w:ascii="Microsoft YaHei" w:hAnsi="Microsoft YaHei" w:eastAsia="Microsoft YaHei"/>
          <w:b w:val="0"/>
          <w:sz w:val="22"/>
        </w:rPr>
        <w:t>合同或业务受理单中的装机地址发生变化时，应补充协议或客户确认文件。</w:t>
      </w:r>
    </w:p>
    <w:p>
      <w:pPr>
        <w:pStyle w:val="ListNumber"/>
        <w:spacing w:line="288" w:lineRule="auto"/>
      </w:pPr>
      <w:r>
        <w:rPr>
          <w:rFonts w:ascii="Microsoft YaHei" w:hAnsi="Microsoft YaHei" w:eastAsia="Microsoft YaHei"/>
          <w:b w:val="0"/>
          <w:sz w:val="22"/>
        </w:rPr>
        <w:t>新地址与原地址跨区、跨市或跨省时，应重新核验资费、资源和合规要求。</w:t>
      </w:r>
    </w:p>
    <w:p>
      <w:pPr>
        <w:pStyle w:val="ListNumber"/>
        <w:spacing w:line="288" w:lineRule="auto"/>
      </w:pPr>
      <w:r>
        <w:rPr>
          <w:rFonts w:ascii="Microsoft YaHei" w:hAnsi="Microsoft YaHei" w:eastAsia="Microsoft YaHei"/>
          <w:b w:val="0"/>
          <w:sz w:val="22"/>
        </w:rPr>
        <w:t>地址迁移完成后，应确认原地址线路停用、新地址线路可用和客户验收结果。</w:t>
      </w:r>
    </w:p>
    <w:p>
      <w:pPr>
        <w:spacing w:line="300" w:lineRule="auto" w:after="120"/>
      </w:pPr>
      <w:r>
        <w:rPr>
          <w:rFonts w:ascii="Microsoft YaHei" w:hAnsi="Microsoft YaHei" w:eastAsia="Microsoft YaHei"/>
          <w:b w:val="0"/>
          <w:sz w:val="22"/>
        </w:rPr>
        <w:t>地址迁移不得只修改系统备注。新地址无法核验、资源不具备、主体不一致或客户拒绝签署确认时，不得实施迁移。</w:t>
      </w:r>
    </w:p>
    <w:p>
      <w:pPr>
        <w:pStyle w:val="Heading1"/>
      </w:pPr>
      <w:r>
        <w:t>四、合规审核触发条件</w:t>
      </w:r>
    </w:p>
    <w:p>
      <w:pPr>
        <w:spacing w:line="300" w:lineRule="auto" w:after="120"/>
      </w:pPr>
      <w:r>
        <w:rPr>
          <w:rFonts w:ascii="Microsoft YaHei" w:hAnsi="Microsoft YaHei" w:eastAsia="Microsoft YaHei"/>
          <w:b/>
          <w:sz w:val="22"/>
        </w:rPr>
        <w:t>以下业务变更应触发合规审核：</w:t>
      </w:r>
      <w:r>
        <w:rPr>
          <w:rFonts w:ascii="Microsoft YaHei" w:hAnsi="Microsoft YaHei" w:eastAsia="Microsoft YaHei"/>
          <w:b w:val="0"/>
          <w:sz w:val="22"/>
        </w:rPr>
        <w:t>带宽升档导致资费明显变化，地址迁移导致合同地址变化，跨地域节点调整，合同主体变更，服务等级从普通提升为高保障，客户存在欠费或投诉争议。</w:t>
      </w:r>
    </w:p>
    <w:p>
      <w:pPr>
        <w:spacing w:line="300" w:lineRule="auto" w:after="120"/>
      </w:pPr>
      <w:r>
        <w:rPr>
          <w:rFonts w:ascii="Microsoft YaHei" w:hAnsi="Microsoft YaHei" w:eastAsia="Microsoft YaHei"/>
          <w:b w:val="0"/>
          <w:sz w:val="22"/>
        </w:rPr>
        <w:t>地址迁移与合规审核存在业务联动关系。迁移申请涉及新地址真实性、装机资源和合同一致性，必须重新核验；若新地址无法核验，应暂停变更。</w:t>
      </w:r>
    </w:p>
    <w:p>
      <w:pPr>
        <w:spacing w:line="300" w:lineRule="auto" w:after="120"/>
      </w:pPr>
      <w:r>
        <w:rPr>
          <w:rFonts w:ascii="Microsoft YaHei" w:hAnsi="Microsoft YaHei" w:eastAsia="Microsoft YaHei"/>
          <w:b w:val="0"/>
          <w:sz w:val="22"/>
        </w:rPr>
        <w:t>带宽变更与资费套餐存在资费归属关系。目标带宽不在资费标准中时，不得自行推算价格，应输出无匹配规范兜底。</w:t>
      </w:r>
    </w:p>
    <w:p>
      <w:pPr>
        <w:pStyle w:val="Heading1"/>
      </w:pPr>
      <w:r>
        <w:t>五、客户确认与资料归档</w:t>
      </w:r>
    </w:p>
    <w:p>
      <w:pPr>
        <w:spacing w:line="300" w:lineRule="auto" w:after="120"/>
      </w:pPr>
      <w:r>
        <w:rPr>
          <w:rFonts w:ascii="Microsoft YaHei" w:hAnsi="Microsoft YaHei" w:eastAsia="Microsoft YaHei"/>
          <w:b w:val="0"/>
          <w:sz w:val="22"/>
        </w:rPr>
        <w:t>变更工单必须保存客户确认记录，包括变更内容、生效时间、资费变化、服务影响和联系人确认。若客户通过线上方式确认，应保存电子确认时间和确认账号；若线下确认，应保存盖章或签字文件。</w:t>
      </w:r>
    </w:p>
    <w:p>
      <w:pPr>
        <w:spacing w:line="300" w:lineRule="auto" w:after="120"/>
      </w:pPr>
      <w:r>
        <w:rPr>
          <w:rFonts w:ascii="Microsoft YaHei" w:hAnsi="Microsoft YaHei" w:eastAsia="Microsoft YaHei"/>
          <w:b w:val="0"/>
          <w:sz w:val="22"/>
        </w:rPr>
        <w:t>变更完成后，应归档变更申请、资源勘查记录、审批记录、补充协议、施工记录、测试结果和客户验收记录。资料不完整时，工单不得直接关闭。</w:t>
      </w:r>
    </w:p>
    <w:p>
      <w:pPr>
        <w:pStyle w:val="Heading1"/>
      </w:pPr>
      <w:r>
        <w:t>六、禁止事项</w:t>
      </w:r>
    </w:p>
    <w:p>
      <w:pPr>
        <w:spacing w:line="300" w:lineRule="auto" w:after="120"/>
      </w:pPr>
      <w:r>
        <w:rPr>
          <w:rFonts w:ascii="Microsoft YaHei" w:hAnsi="Microsoft YaHei" w:eastAsia="Microsoft YaHei"/>
          <w:b w:val="0"/>
          <w:sz w:val="22"/>
        </w:rPr>
        <w:t>禁止客户经理口头承诺“先迁移后补协议”。禁止为了赶开通时间绕过新地址资源勘查。禁止将地址迁移包装为故障处理。禁止未审批直接调整高带宽或服务等级。</w:t>
      </w:r>
    </w:p>
    <w:p>
      <w:pPr>
        <w:spacing w:line="300" w:lineRule="auto" w:after="120"/>
      </w:pPr>
      <w:r>
        <w:rPr>
          <w:rFonts w:ascii="Microsoft YaHei" w:hAnsi="Microsoft YaHei" w:eastAsia="Microsoft YaHei"/>
          <w:b w:val="0"/>
          <w:sz w:val="22"/>
        </w:rPr>
        <w:t>客户存在未结清费用时，可以受理咨询和变更申请，但不得在欠费风险未解除前完成可能扩大风险的升档、迁移或合同主体变更。</w:t>
      </w:r>
    </w:p>
    <w:p>
      <w:pPr>
        <w:pStyle w:val="Heading1"/>
      </w:pPr>
      <w:r>
        <w:t>七、示例问答支撑片段</w:t>
      </w:r>
    </w:p>
    <w:p>
      <w:pPr>
        <w:spacing w:line="300" w:lineRule="auto" w:after="120"/>
      </w:pPr>
      <w:r>
        <w:rPr>
          <w:rFonts w:ascii="Microsoft YaHei" w:hAnsi="Microsoft YaHei" w:eastAsia="Microsoft YaHei"/>
          <w:b/>
          <w:sz w:val="22"/>
        </w:rPr>
        <w:t>客户问“地址迁移是否需要重新审核”时，应回答：</w:t>
      </w:r>
      <w:r>
        <w:rPr>
          <w:rFonts w:ascii="Microsoft YaHei" w:hAnsi="Microsoft YaHei" w:eastAsia="Microsoft YaHei"/>
          <w:b w:val="0"/>
          <w:sz w:val="22"/>
        </w:rPr>
        <w:t>需要重新核验新地址真实性、资源能力、合同一致性，符合触发条件时应进入合规审核。</w:t>
      </w:r>
    </w:p>
    <w:p>
      <w:pPr>
        <w:spacing w:line="300" w:lineRule="auto" w:after="120"/>
      </w:pPr>
      <w:r>
        <w:rPr>
          <w:rFonts w:ascii="Microsoft YaHei" w:hAnsi="Microsoft YaHei" w:eastAsia="Microsoft YaHei"/>
          <w:b w:val="0"/>
          <w:sz w:val="22"/>
        </w:rPr>
        <w:t>客户问“100M 改 200M 怎么办理”时，应回答：确认线路编号、目标带宽、资源能力、资费套餐、审批结果，审核通过后生成变更工单并测试确认。</w:t>
      </w:r>
    </w:p>
    <w:p>
      <w:pPr>
        <w:spacing w:line="300" w:lineRule="auto" w:after="120"/>
      </w:pPr>
      <w:r>
        <w:rPr>
          <w:rFonts w:ascii="Microsoft YaHei" w:hAnsi="Microsoft YaHei" w:eastAsia="Microsoft YaHei"/>
          <w:b/>
          <w:sz w:val="22"/>
        </w:rPr>
        <w:t>客户问“新地址还没证明能不能先迁过去”时，应回答：</w:t>
      </w:r>
      <w:r>
        <w:rPr>
          <w:rFonts w:ascii="Microsoft YaHei" w:hAnsi="Microsoft YaHei" w:eastAsia="Microsoft YaHei"/>
          <w:b w:val="0"/>
          <w:sz w:val="22"/>
        </w:rPr>
        <w:t>不得实施迁移，新地址无法核验属于变更风险。</w:t>
      </w:r>
    </w:p>
    <w:p>
      <w:pPr>
        <w:pStyle w:val="Heading2"/>
      </w:pPr>
      <w:r>
        <w:t>业务变更审核触发表</w:t>
      </w:r>
    </w:p>
    <w:tbl>
      <w:tblPr>
        <w:tblStyle w:val="TableGrid"/>
        <w:tblW w:type="auto" w:w="0"/>
        <w:tblLook w:firstColumn="1" w:firstRow="1" w:lastColumn="0" w:lastRow="0" w:noHBand="0" w:noVBand="1" w:val="04A0"/>
      </w:tblPr>
      <w:tblGrid>
        <w:gridCol w:w="3249"/>
        <w:gridCol w:w="3249"/>
        <w:gridCol w:w="3249"/>
      </w:tblGrid>
      <w:tr>
        <w:tc>
          <w:tcPr>
            <w:tcW w:type="dxa" w:w="3249"/>
            <w:shd w:fill="D9EAF7"/>
          </w:tcPr>
          <w:p>
            <w:r>
              <w:rPr>
                <w:rFonts w:ascii="Microsoft YaHei" w:hAnsi="Microsoft YaHei" w:eastAsia="Microsoft YaHei"/>
                <w:b/>
                <w:sz w:val="22"/>
              </w:rPr>
              <w:t>变更类型</w:t>
            </w:r>
          </w:p>
        </w:tc>
        <w:tc>
          <w:tcPr>
            <w:tcW w:type="dxa" w:w="3249"/>
            <w:shd w:fill="D9EAF7"/>
          </w:tcPr>
          <w:p>
            <w:r>
              <w:rPr>
                <w:rFonts w:ascii="Microsoft YaHei" w:hAnsi="Microsoft YaHei" w:eastAsia="Microsoft YaHei"/>
                <w:b/>
                <w:sz w:val="22"/>
              </w:rPr>
              <w:t>是否触发审核</w:t>
            </w:r>
          </w:p>
        </w:tc>
        <w:tc>
          <w:tcPr>
            <w:tcW w:type="dxa" w:w="3249"/>
            <w:shd w:fill="D9EAF7"/>
          </w:tcPr>
          <w:p>
            <w:r>
              <w:rPr>
                <w:rFonts w:ascii="Microsoft YaHei" w:hAnsi="Microsoft YaHei" w:eastAsia="Microsoft YaHei"/>
                <w:b/>
                <w:sz w:val="22"/>
              </w:rPr>
              <w:t>说明</w:t>
            </w:r>
          </w:p>
        </w:tc>
      </w:tr>
      <w:tr>
        <w:tc>
          <w:tcPr>
            <w:tcW w:type="dxa" w:w="3249"/>
          </w:tcPr>
          <w:p>
            <w:r>
              <w:rPr>
                <w:rFonts w:ascii="Microsoft YaHei" w:hAnsi="Microsoft YaHei" w:eastAsia="Microsoft YaHei"/>
                <w:b w:val="0"/>
                <w:sz w:val="19"/>
              </w:rPr>
              <w:t>带宽升档</w:t>
            </w:r>
          </w:p>
        </w:tc>
        <w:tc>
          <w:tcPr>
            <w:tcW w:type="dxa" w:w="3249"/>
          </w:tcPr>
          <w:p>
            <w:r>
              <w:rPr>
                <w:rFonts w:ascii="Microsoft YaHei" w:hAnsi="Microsoft YaHei" w:eastAsia="Microsoft YaHei"/>
                <w:b w:val="0"/>
                <w:sz w:val="19"/>
              </w:rPr>
              <w:t>是</w:t>
            </w:r>
          </w:p>
        </w:tc>
        <w:tc>
          <w:tcPr>
            <w:tcW w:type="dxa" w:w="3249"/>
          </w:tcPr>
          <w:p>
            <w:r>
              <w:rPr>
                <w:rFonts w:ascii="Microsoft YaHei" w:hAnsi="Microsoft YaHei" w:eastAsia="Microsoft YaHei"/>
                <w:b w:val="0"/>
                <w:sz w:val="19"/>
              </w:rPr>
              <w:t>涉及资源能力、资费变化和合同补充</w:t>
            </w:r>
          </w:p>
        </w:tc>
      </w:tr>
      <w:tr>
        <w:tc>
          <w:tcPr>
            <w:tcW w:type="dxa" w:w="3249"/>
          </w:tcPr>
          <w:p>
            <w:r>
              <w:rPr>
                <w:rFonts w:ascii="Microsoft YaHei" w:hAnsi="Microsoft YaHei" w:eastAsia="Microsoft YaHei"/>
                <w:b w:val="0"/>
                <w:sz w:val="19"/>
              </w:rPr>
              <w:t>带宽降档</w:t>
            </w:r>
          </w:p>
        </w:tc>
        <w:tc>
          <w:tcPr>
            <w:tcW w:type="dxa" w:w="3249"/>
          </w:tcPr>
          <w:p>
            <w:r>
              <w:rPr>
                <w:rFonts w:ascii="Microsoft YaHei" w:hAnsi="Microsoft YaHei" w:eastAsia="Microsoft YaHei"/>
                <w:b w:val="0"/>
                <w:sz w:val="19"/>
              </w:rPr>
              <w:t>视情况</w:t>
            </w:r>
          </w:p>
        </w:tc>
        <w:tc>
          <w:tcPr>
            <w:tcW w:type="dxa" w:w="3249"/>
          </w:tcPr>
          <w:p>
            <w:r>
              <w:rPr>
                <w:rFonts w:ascii="Microsoft YaHei" w:hAnsi="Microsoft YaHei" w:eastAsia="Microsoft YaHei"/>
                <w:b w:val="0"/>
                <w:sz w:val="19"/>
              </w:rPr>
              <w:t>需核验合同期限、优惠条件和最低消费</w:t>
            </w:r>
          </w:p>
        </w:tc>
      </w:tr>
      <w:tr>
        <w:tc>
          <w:tcPr>
            <w:tcW w:type="dxa" w:w="3249"/>
          </w:tcPr>
          <w:p>
            <w:r>
              <w:rPr>
                <w:rFonts w:ascii="Microsoft YaHei" w:hAnsi="Microsoft YaHei" w:eastAsia="Microsoft YaHei"/>
                <w:b w:val="0"/>
                <w:sz w:val="19"/>
              </w:rPr>
              <w:t>地址迁移</w:t>
            </w:r>
          </w:p>
        </w:tc>
        <w:tc>
          <w:tcPr>
            <w:tcW w:type="dxa" w:w="3249"/>
          </w:tcPr>
          <w:p>
            <w:r>
              <w:rPr>
                <w:rFonts w:ascii="Microsoft YaHei" w:hAnsi="Microsoft YaHei" w:eastAsia="Microsoft YaHei"/>
                <w:b w:val="0"/>
                <w:sz w:val="19"/>
              </w:rPr>
              <w:t>是</w:t>
            </w:r>
          </w:p>
        </w:tc>
        <w:tc>
          <w:tcPr>
            <w:tcW w:type="dxa" w:w="3249"/>
          </w:tcPr>
          <w:p>
            <w:r>
              <w:rPr>
                <w:rFonts w:ascii="Microsoft YaHei" w:hAnsi="Microsoft YaHei" w:eastAsia="Microsoft YaHei"/>
                <w:b w:val="0"/>
                <w:sz w:val="19"/>
              </w:rPr>
              <w:t>影响装机地址、资源和合同一致性</w:t>
            </w:r>
          </w:p>
        </w:tc>
      </w:tr>
      <w:tr>
        <w:tc>
          <w:tcPr>
            <w:tcW w:type="dxa" w:w="3249"/>
          </w:tcPr>
          <w:p>
            <w:r>
              <w:rPr>
                <w:rFonts w:ascii="Microsoft YaHei" w:hAnsi="Microsoft YaHei" w:eastAsia="Microsoft YaHei"/>
                <w:b w:val="0"/>
                <w:sz w:val="19"/>
              </w:rPr>
              <w:t>临时提速</w:t>
            </w:r>
          </w:p>
        </w:tc>
        <w:tc>
          <w:tcPr>
            <w:tcW w:type="dxa" w:w="3249"/>
          </w:tcPr>
          <w:p>
            <w:r>
              <w:rPr>
                <w:rFonts w:ascii="Microsoft YaHei" w:hAnsi="Microsoft YaHei" w:eastAsia="Microsoft YaHei"/>
                <w:b w:val="0"/>
                <w:sz w:val="19"/>
              </w:rPr>
              <w:t>视情况</w:t>
            </w:r>
          </w:p>
        </w:tc>
        <w:tc>
          <w:tcPr>
            <w:tcW w:type="dxa" w:w="3249"/>
          </w:tcPr>
          <w:p>
            <w:r>
              <w:rPr>
                <w:rFonts w:ascii="Microsoft YaHei" w:hAnsi="Microsoft YaHei" w:eastAsia="Microsoft YaHei"/>
                <w:b w:val="0"/>
                <w:sz w:val="19"/>
              </w:rPr>
              <w:t>需明确费用、期限和恢复规则</w:t>
            </w:r>
          </w:p>
        </w:tc>
      </w:tr>
      <w:tr>
        <w:tc>
          <w:tcPr>
            <w:tcW w:type="dxa" w:w="3249"/>
          </w:tcPr>
          <w:p>
            <w:r>
              <w:rPr>
                <w:rFonts w:ascii="Microsoft YaHei" w:hAnsi="Microsoft YaHei" w:eastAsia="Microsoft YaHei"/>
                <w:b w:val="0"/>
                <w:sz w:val="19"/>
              </w:rPr>
              <w:t>合同主体变更</w:t>
            </w:r>
          </w:p>
        </w:tc>
        <w:tc>
          <w:tcPr>
            <w:tcW w:type="dxa" w:w="3249"/>
          </w:tcPr>
          <w:p>
            <w:r>
              <w:rPr>
                <w:rFonts w:ascii="Microsoft YaHei" w:hAnsi="Microsoft YaHei" w:eastAsia="Microsoft YaHei"/>
                <w:b w:val="0"/>
                <w:sz w:val="19"/>
              </w:rPr>
              <w:t>是</w:t>
            </w:r>
          </w:p>
        </w:tc>
        <w:tc>
          <w:tcPr>
            <w:tcW w:type="dxa" w:w="3249"/>
          </w:tcPr>
          <w:p>
            <w:r>
              <w:rPr>
                <w:rFonts w:ascii="Microsoft YaHei" w:hAnsi="Microsoft YaHei" w:eastAsia="Microsoft YaHei"/>
                <w:b w:val="0"/>
                <w:sz w:val="19"/>
              </w:rPr>
              <w:t>需重新核验客户准入资质和授权关系</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