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0"/>
        <w:jc w:val="center"/>
      </w:pPr>
      <w:r>
        <w:rPr>
          <w:rFonts w:eastAsia="黑体" w:ascii="Arial" w:hAnsi="Arial"/>
          <w:b/>
          <w:color w:val="000000"/>
          <w:sz w:val="44"/>
        </w:rPr>
        <w:t>山东科技大学</w:t>
      </w:r>
    </w:p>
    <w:p/>
    <w:p>
      <w:pPr>
        <w:ind w:firstLine="0"/>
        <w:jc w:val="center"/>
      </w:pPr>
      <w:r>
        <w:rPr>
          <w:rFonts w:eastAsia="黑体" w:ascii="Arial" w:hAnsi="Arial"/>
          <w:b/>
          <w:color w:val="000000"/>
          <w:sz w:val="44"/>
        </w:rPr>
        <w:t>本科毕业设计（论文）</w:t>
      </w:r>
    </w:p>
    <w:p/>
    <w:p/>
    <w:p/>
    <w:p>
      <w:pPr>
        <w:ind w:firstLine="0"/>
        <w:jc w:val="center"/>
      </w:pPr>
      <w:r>
        <w:rPr>
          <w:rFonts w:eastAsia="黑体" w:ascii="Arial" w:hAnsi="Arial"/>
          <w:b/>
          <w:color w:val="000000"/>
          <w:sz w:val="36"/>
        </w:rPr>
        <w:t>基于知识图谱增强的药物相互作用预测研究</w:t>
      </w:r>
    </w:p>
    <w:p/>
    <w:p>
      <w:pPr>
        <w:ind w:firstLine="0"/>
        <w:jc w:val="center"/>
      </w:pPr>
      <w:r>
        <w:rPr>
          <w:rFonts w:eastAsia="宋体" w:ascii="Times New Roman" w:hAnsi="Times New Roman"/>
          <w:b w:val="0"/>
          <w:color w:val="000000"/>
          <w:sz w:val="28"/>
        </w:rPr>
        <w:t>——图结构学习机制解耦与轻量化重构</w:t>
      </w:r>
    </w:p>
    <w:p/>
    <w:p/>
    <w:p/>
    <w:p/>
    <w:p>
      <w:pPr>
        <w:ind w:firstLine="0"/>
        <w:jc w:val="center"/>
      </w:pPr>
      <w:r>
        <w:rPr>
          <w:rFonts w:eastAsia="宋体" w:ascii="Times New Roman" w:hAnsi="Times New Roman"/>
          <w:b w:val="0"/>
          <w:color w:val="000000"/>
          <w:sz w:val="28"/>
        </w:rPr>
        <w:t>学    院：计算机科学与工程学院</w:t>
      </w:r>
    </w:p>
    <w:p>
      <w:pPr>
        <w:ind w:firstLine="0"/>
        <w:jc w:val="center"/>
      </w:pPr>
      <w:r>
        <w:rPr>
          <w:rFonts w:eastAsia="宋体" w:ascii="Times New Roman" w:hAnsi="Times New Roman"/>
          <w:b w:val="0"/>
          <w:color w:val="000000"/>
          <w:sz w:val="28"/>
        </w:rPr>
        <w:t>专    业：计算机科学与技术</w:t>
      </w:r>
    </w:p>
    <w:p>
      <w:pPr>
        <w:ind w:firstLine="0"/>
        <w:jc w:val="center"/>
      </w:pPr>
      <w:r>
        <w:rPr>
          <w:rFonts w:eastAsia="宋体" w:ascii="Times New Roman" w:hAnsi="Times New Roman"/>
          <w:b w:val="0"/>
          <w:color w:val="000000"/>
          <w:sz w:val="28"/>
        </w:rPr>
        <w:t>班    级：2021级×班</w:t>
      </w:r>
    </w:p>
    <w:p>
      <w:pPr>
        <w:ind w:firstLine="0"/>
        <w:jc w:val="center"/>
      </w:pPr>
      <w:r>
        <w:rPr>
          <w:rFonts w:eastAsia="宋体" w:ascii="Times New Roman" w:hAnsi="Times New Roman"/>
          <w:b w:val="0"/>
          <w:color w:val="000000"/>
          <w:sz w:val="28"/>
        </w:rPr>
        <w:t>学生姓名：××××</w:t>
      </w:r>
    </w:p>
    <w:p>
      <w:pPr>
        <w:ind w:firstLine="0"/>
        <w:jc w:val="center"/>
      </w:pPr>
      <w:r>
        <w:rPr>
          <w:rFonts w:eastAsia="宋体" w:ascii="Times New Roman" w:hAnsi="Times New Roman"/>
          <w:b w:val="0"/>
          <w:color w:val="000000"/>
          <w:sz w:val="28"/>
        </w:rPr>
        <w:t>学    号：202×××××××</w:t>
      </w:r>
    </w:p>
    <w:p>
      <w:pPr>
        <w:ind w:firstLine="0"/>
        <w:jc w:val="center"/>
      </w:pPr>
      <w:r>
        <w:rPr>
          <w:rFonts w:eastAsia="宋体" w:ascii="Times New Roman" w:hAnsi="Times New Roman"/>
          <w:b w:val="0"/>
          <w:color w:val="000000"/>
          <w:sz w:val="28"/>
        </w:rPr>
        <w:t>指导教师：××× 副教授</w:t>
      </w:r>
    </w:p>
    <w:p>
      <w:pPr>
        <w:ind w:firstLine="0"/>
        <w:jc w:val="center"/>
      </w:pPr>
      <w:r>
        <w:rPr>
          <w:rFonts w:eastAsia="宋体" w:ascii="Times New Roman" w:hAnsi="Times New Roman"/>
          <w:b w:val="0"/>
          <w:color w:val="000000"/>
          <w:sz w:val="28"/>
        </w:rPr>
        <w:t>完成日期：2025年6月</w:t>
      </w:r>
    </w:p>
    <w:p>
      <w:r>
        <w:br w:type="page"/>
      </w:r>
    </w:p>
    <w:p>
      <w:pPr>
        <w:spacing w:before="240" w:after="240"/>
        <w:ind w:firstLine="0"/>
        <w:jc w:val="center"/>
      </w:pPr>
      <w:r>
        <w:rPr>
          <w:rFonts w:eastAsia="黑体" w:ascii="Arial" w:hAnsi="Arial"/>
          <w:b/>
          <w:color w:val="000000"/>
          <w:sz w:val="32"/>
        </w:rPr>
        <w:t>摘  要</w:t>
      </w:r>
    </w:p>
    <w:p>
      <w:pPr>
        <w:ind w:firstLine="482"/>
        <w:jc w:val="both"/>
        <w:spacing w:line="440" w:lineRule="exact"/>
      </w:pPr>
      <w:r>
        <w:rPr>
          <w:rFonts w:eastAsia="宋体" w:ascii="Times New Roman" w:hAnsi="Times New Roman"/>
          <w:b w:val="0"/>
          <w:color w:val="000000"/>
          <w:sz w:val="24"/>
        </w:rPr>
        <w:t>药物-药物相互作用（Drug-Drug Interaction, DDI）的准确预测对临床联合用药安全和新药研发具有重要意义。现有基于图神经网络（GNN）的DDI预测方法虽已引入外部生物医学知识图谱（KG）来弥补已知DDI样本的稀缺性，但图结构学习中的“去噪”与“补全”两类操作对预测性能的独立贡献尚未得到系统性定量分析；与此同时，现有模型参数量大、推理延时高，难以满足医疗边缘端部署的需求。</w:t>
      </w:r>
      <w:r>
        <w:rPr>
          <w:rFonts w:eastAsia="宋体" w:ascii="Times New Roman" w:hAnsi="Times New Roman"/>
          <w:b w:val="0"/>
          <w:color w:val="CC9900"/>
          <w:sz w:val="24"/>
        </w:rPr>
        <w:t>以KnowDDI为例，其图结构学习模块通过EdgeGateNetwork同时学习gate/denoise/completion三路打分并融合为边权，背景知识图谱采用Hetionet v1.0来增强稀疏DDI数据中的实体关联，去噪分支仅对子图中已有的边重加权、补全分支仅为缺失边补分，二者共享隐藏层权重却始终被联合训练，各自的独立贡献从未被单独量化；模型在两个基准数据集上的推理显存峰值达911~1667 MiB，难以直接满足医疗边缘场景的部署要求。</w:t>
      </w:r>
    </w:p>
    <w:p>
      <w:pPr>
        <w:ind w:firstLine="0"/>
        <w:jc w:val="center"/>
      </w:pPr>
      <w:r>
        <w:rPr>
          <w:rFonts w:eastAsia="宋体" w:ascii="Times New Roman" w:hAnsi="Times New Roman"/>
          <w:b/>
          <w:color w:val="FF0000"/>
          <w:sz w:val="24"/>
        </w:rPr>
        <w:t>【待插图：EdgeGateNetwork结构或代码片段截图】</w:t>
      </w:r>
    </w:p>
    <w:p>
      <w:pPr>
        <w:ind w:firstLine="482"/>
        <w:jc w:val="both"/>
        <w:spacing w:line="440" w:lineRule="exact"/>
      </w:pPr>
      <w:r>
        <w:rPr>
          <w:rFonts w:eastAsia="宋体" w:ascii="Times New Roman" w:hAnsi="Times New Roman"/>
          <w:b w:val="0"/>
          <w:color w:val="000000"/>
          <w:sz w:val="24"/>
        </w:rPr>
        <w:t>本文以KnowDDI模型为基础实现平台，围绕以下两条主线开展研究：（1）通过设计严格的受控消融实验，构建baseline、仅去噪、仅补全和去噪+补全四组变体，在DrugBank（多分类）与TWOSIDES（多标签）两个基准数据集上对图结构学习中的去噪与补全机制进行定量解耦，揭示两类操作的差异化边际贡献与数据集相关的适用边界；（2）提出“拓扑-参数”协同压缩策略，通过子图稀疏采样与多维特征压缩的联合优化，系统评估不同轻量化方案在精度、推理时延与显存占用之间的折中关系。</w:t>
      </w:r>
      <w:r>
        <w:rPr>
          <w:rFonts w:eastAsia="宋体" w:ascii="Times New Roman" w:hAnsi="Times New Roman"/>
          <w:b w:val="0"/>
          <w:color w:val="CC9900"/>
          <w:sz w:val="24"/>
        </w:rPr>
        <w:t>消融研究中，四组变体通过新增命令行参数--gsl_mode统一切换去噪/补全分支的激活状态，参数量完全一致，消融对比不受模型容量差异干扰；实验在DrugBank（1710种药物、86类DDI关系）与TWOSIDES（645种药物、200类DDI关系）两个数据集上，各以3个固定随机种子重复运行，采用与原论文一致的实验协议，基线复现结果与原报告值的偏差均控制在合理范围内。轻量化研究中，拓扑压缩入口为子图采样的max_nodes_per_hop与max_links（60%保留比例），参数压缩入口为emb_dim/gsl_rel_emb_dim/MLP_hidden_dim三维同步缩减（50%保留比例），两类入口正交独立，方案间比较不受参数配置歧义影响。</w:t>
      </w:r>
    </w:p>
    <w:p>
      <w:pPr>
        <w:ind w:firstLine="482"/>
        <w:jc w:val="both"/>
        <w:spacing w:line="440" w:lineRule="exact"/>
      </w:pPr>
      <w:r>
        <w:rPr>
          <w:rFonts w:eastAsia="宋体" w:ascii="Times New Roman" w:hAnsi="Times New Roman"/>
          <w:b w:val="0"/>
          <w:color w:val="000000"/>
          <w:sz w:val="24"/>
        </w:rPr>
        <w:t>实验结果表明：在DrugBank数据集上，去噪机制更有利于提升类别均衡意义下的预测性能（Macro-F1），补全机制更有利于增强整体预测一致性（ACC、Cohen's κ）；在TWOSIDES数据集上，原始基线模型表现最优，补全模块激活比例极低（0.62%~0.79%），说明两类机制的适用边界具有显著的数据集依赖性。</w:t>
      </w:r>
      <w:r>
        <w:rPr>
          <w:rFonts w:eastAsia="宋体" w:ascii="Times New Roman" w:hAnsi="Times New Roman"/>
          <w:b w:val="0"/>
          <w:color w:val="CC9900"/>
          <w:sz w:val="24"/>
        </w:rPr>
        <w:t>具体而言，DrugBank上Denoise-only变体取得四组最高Macro-F1（91.52%），Completion-only变体的ACC（92.89%）与Cohen's κ（91.57%）略高于基线，Denoise+Completion联合方案在ACC（92.99%）和κ（91.68%）上达到全局最优，但其Macro-F1（90.78%）受补全引入的长尾类别误判边拖累，低于单独去噪变体；TWOSIDES上基线AUROC为95.44%、AUPRC为94.11%，三个引入GSL操作的变体均低于基线，补全激活比例随训练逐步从约1.1%自发收敛至0.6%~0.8%，模型在该数据集上自发地将补全边比例压到极低水平，无需外部干预。</w:t>
      </w:r>
      <w:r>
        <w:rPr>
          <w:rFonts w:eastAsia="宋体" w:ascii="Times New Roman" w:hAnsi="Times New Roman"/>
          <w:b w:val="0"/>
          <w:color w:val="000000"/>
          <w:sz w:val="24"/>
        </w:rPr>
        <w:t>在轻量化实验中，仅特征压缩方案（50%压缩比）在DrugBank上以仅0.58%的Macro-F1损失实现了约48%的显存节省，是精度损失最小的单维度轻量化策略；协同优化方案相比单一特征压缩的额外资源收益有限，但为极限资源压缩场景提供了更大的压缩空间。</w:t>
      </w:r>
      <w:r>
        <w:rPr>
          <w:rFonts w:eastAsia="宋体" w:ascii="Times New Roman" w:hAnsi="Times New Roman"/>
          <w:b w:val="0"/>
          <w:color w:val="CC9900"/>
          <w:sz w:val="24"/>
        </w:rPr>
        <w:t>仅子图稀疏方案在DrugBank上Macro-F1损失1.73%、显存节省43.9%，两种方案的推理时长节省均接近48%，但协同压缩在DrugBank上未获得相比特征压缩更明显的时延收益，归因分析表明GraphSAGE节点嵌入索引步骤的耗时与emb_dim呈线性相关而与节点数仅呈次线性相关，emb_dim压缩已率先消除该瓶颈；TWOSIDES上三类轻量化方案的效率收益均不超过10%，说明该数据集的计算开销主要受样本规模驱动，单纯的拓扑或特征压缩难以带来显著的推理提速。</w:t>
      </w:r>
    </w:p>
    <w:p>
      <w:pPr>
        <w:spacing w:before="0" w:after="0"/>
        <w:ind w:firstLine="480"/>
      </w:pPr>
      <w:r>
        <w:rPr>
          <w:rFonts w:eastAsia="宋体" w:ascii="Times New Roman" w:hAnsi="Times New Roman"/>
          <w:b w:val="0"/>
          <w:color w:val="008B00"/>
          <w:sz w:val="24"/>
        </w:rPr>
        <w:t>此外，本文选取Reboxetine-Atomoxetine与Atropine-Scopolamine两个典型药物对，通过分析基线模型在知识子图中保留的高权重边与推理路径，验证了KnowDDI模型基于知识子图学习的可解释预测能力。前者呈现出经由桥接化合物DB01146的清晰双跳推理路径，后者则体现了模型对局部高权重邻域的综合聚合推理。上述案例表明，知识子图不仅是提升预测精度的结构工具，也是模型预测结果的生物医学解释载体。</w:t>
      </w:r>
    </w:p>
    <w:p/>
    <w:p>
      <w:pPr>
        <w:ind w:firstLine="0"/>
      </w:pPr>
      <w:r>
        <w:rPr>
          <w:rFonts w:eastAsia="黑体" w:ascii="Arial" w:hAnsi="Arial"/>
          <w:b/>
          <w:color w:val="000000"/>
          <w:sz w:val="24"/>
        </w:rPr>
        <w:t>关键词：</w:t>
      </w:r>
      <w:r>
        <w:rPr>
          <w:rFonts w:eastAsia="宋体" w:ascii="Times New Roman" w:hAnsi="Times New Roman"/>
          <w:b w:val="0"/>
          <w:color w:val="000000"/>
          <w:sz w:val="24"/>
        </w:rPr>
        <w:t>药物-药物相互作用预测；图神经网络；知识图谱；图结构学习；轻量化模型；消融实验；可解释性</w:t>
      </w:r>
    </w:p>
    <w:p>
      <w:r>
        <w:br w:type="page"/>
      </w:r>
    </w:p>
    <w:p>
      <w:pPr>
        <w:spacing w:before="240" w:after="240"/>
        <w:ind w:firstLine="0"/>
        <w:jc w:val="center"/>
      </w:pPr>
      <w:r>
        <w:rPr>
          <w:rFonts w:eastAsia="宋体" w:ascii="Arial" w:hAnsi="Arial"/>
          <w:b/>
          <w:color w:val="000000"/>
          <w:sz w:val="32"/>
        </w:rPr>
        <w:t>ABSTRACT</w:t>
      </w:r>
    </w:p>
    <w:p>
      <w:pPr>
        <w:ind w:firstLine="482"/>
        <w:jc w:val="both"/>
        <w:spacing w:line="440" w:lineRule="exact"/>
      </w:pPr>
      <w:r>
        <w:rPr>
          <w:rFonts w:eastAsia="宋体" w:ascii="Times New Roman" w:hAnsi="Times New Roman"/>
          <w:b w:val="0"/>
          <w:color w:val="000000"/>
          <w:sz w:val="24"/>
        </w:rPr>
        <w:t>Accurate prediction of Drug-Drug Interactions (DDI) is of critical importance for clinical polypharmacy safety and drug discovery. Although existing GNN-based DDI prediction methods have incorporated external biomedical knowledge graphs (KG) to compensate for the scarcity of labeled DDI samples, the independent contributions of graph structure learning operations—namely denoising and completion—to predictive performance have not been systematically quantified. Meanwhile, existing models suffer from large parameter counts and high inference latency, making them difficult to deploy on resource-constrained medical edge devices.</w:t>
      </w:r>
      <w:r>
        <w:rPr>
          <w:rFonts w:eastAsia="宋体" w:ascii="Times New Roman" w:hAnsi="Times New Roman"/>
          <w:b w:val="0"/>
          <w:color w:val="CC9900"/>
          <w:sz w:val="24"/>
        </w:rPr>
        <w:t>Specifically, KnowDDI employs an EdgeGateNetwork to jointly learn gate/denoise/completion three-way branch scores over candidate subgraph edges, using Hetionet v1.0 as the background knowledge graph. The denoising branch re-weights existing edges while the completion branch scores absent ones; though they share a hidden layer, their individual contributions have never been isolated. Peak GPU memory usage reaches 911–1667 MiB across the two benchmarks, falling short of typical medical edge deployment constraints.</w:t>
      </w:r>
    </w:p>
    <w:p>
      <w:pPr>
        <w:ind w:firstLine="482"/>
        <w:jc w:val="both"/>
        <w:spacing w:line="440" w:lineRule="exact"/>
      </w:pPr>
      <w:r>
        <w:rPr>
          <w:rFonts w:eastAsia="宋体" w:ascii="Times New Roman" w:hAnsi="Times New Roman"/>
          <w:b w:val="0"/>
          <w:color w:val="000000"/>
          <w:sz w:val="24"/>
        </w:rPr>
        <w:t>This thesis uses the KnowDDI model as the implementation platform and conducts research along two main lines: (1) Through rigorous controlled ablation experiments, four model variants—baseline, denoise-only, completion-only, and denoise+completion—are constructed to quantitatively decouple the denoising and completion mechanisms on DrugBank (multi-class) and TWOSIDES (multi-label) benchmark datasets, revealing their differentiated marginal contributions and dataset-dependent applicability boundaries; (2) A 'topology-parameter' co-compression strategy is proposed, and the trade-off among accuracy, inference latency, and GPU memory usage of various lightweight schemes is systematically evaluated.</w:t>
      </w:r>
      <w:r>
        <w:rPr>
          <w:rFonts w:eastAsia="宋体" w:ascii="Times New Roman" w:hAnsi="Times New Roman"/>
          <w:b w:val="0"/>
          <w:color w:val="CC9900"/>
          <w:sz w:val="24"/>
        </w:rPr>
        <w:t>In the ablation study, all four variants are controlled via a single command-line argument --gsl_mode that switches the denoise/completion branch activation while keeping parameter counts identical, eliminating confounding from model capacity differences. Experiments are run on DrugBank (1710 drugs, 86 DDI types) and TWOSIDES (645 drugs, 200 DDI types) with three fixed random seeds each, following the same protocol as the original KnowDDI paper. For lightweight experiments, topology compression targets max_nodes_per_hop and max_links (60% retention), while parameter compression synchronously reduces emb_dim/gsl_rel_emb_dim/MLP_hidden_dim (50% retention), ensuring orthogonal and reproducible comparisons.</w:t>
      </w:r>
    </w:p>
    <w:p>
      <w:pPr>
        <w:ind w:firstLine="482"/>
        <w:jc w:val="both"/>
        <w:spacing w:line="440" w:lineRule="exact"/>
      </w:pPr>
      <w:r>
        <w:rPr>
          <w:rFonts w:eastAsia="宋体" w:ascii="Times New Roman" w:hAnsi="Times New Roman"/>
          <w:b w:val="0"/>
          <w:color w:val="000000"/>
          <w:sz w:val="24"/>
        </w:rPr>
        <w:t>Experimental results show that on DrugBank, the denoising mechanism more effectively improves category-balanced prediction performance (Macro-F1), while the completion mechanism more effectively enhances overall prediction consistency (ACC, Cohen's κ). On TWOSIDES, the original baseline achieves the best performance and the completion module activation ratio is extremely low (0.62%–0.79%), indicating that the applicability of the two mechanisms is significantly dataset-dependent. In lightweight experiments, the feature-only compression scheme (50% ratio) achieves approximately 48% memory savings on DrugBank with only 0.58% Macro-F1 loss, making it the best-trade-off single-dimension lightweight strategy.</w:t>
      </w:r>
      <w:r>
        <w:rPr>
          <w:rFonts w:eastAsia="宋体" w:ascii="Times New Roman" w:hAnsi="Times New Roman"/>
          <w:b w:val="0"/>
          <w:color w:val="CC9900"/>
          <w:sz w:val="24"/>
        </w:rPr>
        <w:t>Specifically, on DrugBank the Denoise-only variant achieves the highest Macro-F1 (91.52%) among all four variants, Completion-only yields the highest ACC (92.89%) and Cohen's κ (91.57%), and the Denoise+Completion variant reaches peak ACC (92.99%) and κ (91.68%) but sees Macro-F1 drop to 90.78% due to long-tail class mis-completion edges. On TWOSIDES the baseline achieves AUROC 95.44% and AUPRC 94.11%, and all three GSL variants fall below it; the completion activation ratio self-converges from ~1.1% in early epochs to 0.6%–0.8% at convergence without manual intervention. For lightweight schemes on DrugBank, sparse-only causes 1.73% Macro-F1 loss with 43.9% memory savings, while co-compression offers no meaningful latency gain over feature-only because GraphSAGE embedding indexing latency scales linearly with emb_dim rather than node count; on TWOSIDES all three lightweight schemes yield less than 10% efficiency gain, indicating that compute cost is data-volume-driven rather than model-structure-driven.</w:t>
      </w:r>
    </w:p>
    <w:p>
      <w:pPr>
        <w:spacing w:before="0" w:after="0"/>
        <w:ind w:firstLine="480"/>
      </w:pPr>
      <w:r>
        <w:rPr>
          <w:rFonts w:eastAsia="宋体" w:ascii="Times New Roman" w:hAnsi="Times New Roman"/>
          <w:b w:val="0"/>
          <w:color w:val="008B00"/>
          <w:sz w:val="24"/>
        </w:rPr>
        <w:t>Furthermore, two representative drug pairs—Reboxetine-Atomoxetine and Atropine-Scopolamine—are analyzed to demonstrate the interpretability of KnowDDI via knowledge subgraph learning. The former presents a clear two-hop reasoning path through a bridging compound (DB01146), while the latter reflects the model's multi-neighbor aggregation-based reasoning. These case studies validate that the knowledge subgraph serves not only as a structural tool for improving prediction accuracy, but also as a biomedical evidence carrier for interpreting model predictions.</w:t>
      </w:r>
    </w:p>
    <w:p/>
    <w:p>
      <w:pPr>
        <w:ind w:firstLine="0"/>
      </w:pPr>
      <w:r>
        <w:rPr>
          <w:rFonts w:eastAsia="宋体" w:ascii="Arial" w:hAnsi="Arial"/>
          <w:b/>
          <w:color w:val="000000"/>
          <w:sz w:val="24"/>
        </w:rPr>
        <w:t xml:space="preserve">Keywords: </w:t>
      </w:r>
      <w:r>
        <w:rPr>
          <w:rFonts w:eastAsia="宋体" w:ascii="Times New Roman" w:hAnsi="Times New Roman"/>
          <w:b w:val="0"/>
          <w:color w:val="000000"/>
          <w:sz w:val="24"/>
        </w:rPr>
        <w:t>Drug-Drug Interaction Prediction; Graph Neural Network; Knowledge Graph; Graph Structure Learning; Lightweight Model; Ablation Study; Interpretability</w:t>
      </w:r>
    </w:p>
    <w:p>
      <w:r>
        <w:br w:type="page"/>
      </w:r>
    </w:p>
    <w:p>
      <w:pPr>
        <w:spacing w:before="240" w:after="240"/>
        <w:ind w:firstLine="0"/>
        <w:jc w:val="center"/>
      </w:pPr>
      <w:r>
        <w:rPr>
          <w:rFonts w:eastAsia="黑体" w:ascii="Arial" w:hAnsi="Arial"/>
          <w:b/>
          <w:color w:val="000000"/>
          <w:sz w:val="32"/>
        </w:rPr>
        <w:t>目  录</w:t>
      </w:r>
    </w:p>
    <w:p>
      <w:pPr>
        <w:ind w:firstLine="0"/>
        <w:jc w:val="left"/>
      </w:pPr>
      <w:r>
        <w:rPr>
          <w:rFonts w:eastAsia="宋体" w:ascii="Times New Roman" w:hAnsi="Times New Roman"/>
          <w:b/>
          <w:color w:val="000000"/>
          <w:sz w:val="24"/>
        </w:rPr>
        <w:t>摘要</w:t>
      </w:r>
    </w:p>
    <w:p>
      <w:pPr>
        <w:ind w:firstLine="0"/>
        <w:jc w:val="left"/>
      </w:pPr>
      <w:r>
        <w:rPr>
          <w:rFonts w:eastAsia="宋体" w:ascii="Times New Roman" w:hAnsi="Times New Roman"/>
          <w:b/>
          <w:color w:val="000000"/>
          <w:sz w:val="24"/>
        </w:rPr>
        <w:t>ABSTRACT</w:t>
      </w:r>
    </w:p>
    <w:p>
      <w:pPr>
        <w:ind w:firstLine="0"/>
        <w:jc w:val="left"/>
      </w:pPr>
      <w:r>
        <w:rPr>
          <w:rFonts w:eastAsia="宋体" w:ascii="Times New Roman" w:hAnsi="Times New Roman"/>
          <w:b/>
          <w:color w:val="000000"/>
          <w:sz w:val="24"/>
        </w:rPr>
        <w:t>第一章  绪论</w:t>
      </w:r>
    </w:p>
    <w:p>
      <w:pPr>
        <w:ind w:firstLine="0"/>
        <w:jc w:val="left"/>
      </w:pPr>
      <w:r>
        <w:rPr>
          <w:rFonts w:eastAsia="宋体" w:ascii="Times New Roman" w:hAnsi="Times New Roman"/>
          <w:b w:val="0"/>
          <w:color w:val="000000"/>
          <w:sz w:val="24"/>
        </w:rPr>
        <w:t xml:space="preserve">  1.1 研究背景与意义</w:t>
      </w:r>
    </w:p>
    <w:p>
      <w:pPr>
        <w:ind w:firstLine="0"/>
        <w:jc w:val="left"/>
      </w:pPr>
      <w:r>
        <w:rPr>
          <w:rFonts w:eastAsia="宋体" w:ascii="Times New Roman" w:hAnsi="Times New Roman"/>
          <w:b w:val="0"/>
          <w:color w:val="000000"/>
          <w:sz w:val="24"/>
        </w:rPr>
        <w:t xml:space="preserve">  1.2 国内外研究现状</w:t>
      </w:r>
    </w:p>
    <w:p>
      <w:pPr>
        <w:ind w:firstLine="0"/>
        <w:jc w:val="left"/>
      </w:pPr>
      <w:r>
        <w:rPr>
          <w:rFonts w:eastAsia="宋体" w:ascii="Times New Roman" w:hAnsi="Times New Roman"/>
          <w:b w:val="0"/>
          <w:color w:val="000000"/>
          <w:sz w:val="24"/>
        </w:rPr>
        <w:t xml:space="preserve">  1.3 研究内容与创新点</w:t>
      </w:r>
    </w:p>
    <w:p>
      <w:pPr>
        <w:ind w:firstLine="0"/>
        <w:jc w:val="left"/>
      </w:pPr>
      <w:r>
        <w:rPr>
          <w:rFonts w:eastAsia="宋体" w:ascii="Times New Roman" w:hAnsi="Times New Roman"/>
          <w:b w:val="0"/>
          <w:color w:val="000000"/>
          <w:sz w:val="24"/>
        </w:rPr>
        <w:t xml:space="preserve">  1.4 论文结构安排</w:t>
      </w:r>
    </w:p>
    <w:p>
      <w:pPr>
        <w:ind w:firstLine="0"/>
        <w:jc w:val="left"/>
      </w:pPr>
      <w:r>
        <w:rPr>
          <w:rFonts w:eastAsia="宋体" w:ascii="Times New Roman" w:hAnsi="Times New Roman"/>
          <w:b/>
          <w:color w:val="000000"/>
          <w:sz w:val="24"/>
        </w:rPr>
        <w:t>第二章  相关理论与技术基础</w:t>
      </w:r>
    </w:p>
    <w:p>
      <w:pPr>
        <w:ind w:firstLine="0"/>
        <w:jc w:val="left"/>
      </w:pPr>
      <w:r>
        <w:rPr>
          <w:rFonts w:eastAsia="宋体" w:ascii="Times New Roman" w:hAnsi="Times New Roman"/>
          <w:b w:val="0"/>
          <w:color w:val="000000"/>
          <w:sz w:val="24"/>
        </w:rPr>
        <w:t xml:space="preserve">  2.1 知识图谱与生物医学知识图谱</w:t>
      </w:r>
    </w:p>
    <w:p>
      <w:pPr>
        <w:ind w:firstLine="0"/>
        <w:jc w:val="left"/>
      </w:pPr>
      <w:r>
        <w:rPr>
          <w:rFonts w:eastAsia="宋体" w:ascii="Times New Roman" w:hAnsi="Times New Roman"/>
          <w:b w:val="0"/>
          <w:color w:val="000000"/>
          <w:sz w:val="24"/>
        </w:rPr>
        <w:t xml:space="preserve">  2.2 图神经网络基础</w:t>
      </w:r>
    </w:p>
    <w:p>
      <w:pPr>
        <w:ind w:firstLine="0"/>
        <w:jc w:val="left"/>
      </w:pPr>
      <w:r>
        <w:rPr>
          <w:rFonts w:eastAsia="宋体" w:ascii="Times New Roman" w:hAnsi="Times New Roman"/>
          <w:b w:val="0"/>
          <w:color w:val="000000"/>
          <w:sz w:val="24"/>
        </w:rPr>
        <w:t xml:space="preserve">  2.3 图结构学习</w:t>
      </w:r>
    </w:p>
    <w:p>
      <w:pPr>
        <w:ind w:firstLine="0"/>
        <w:jc w:val="left"/>
      </w:pPr>
      <w:r>
        <w:rPr>
          <w:rFonts w:eastAsia="宋体" w:ascii="Times New Roman" w:hAnsi="Times New Roman"/>
          <w:b w:val="0"/>
          <w:color w:val="000000"/>
          <w:sz w:val="24"/>
        </w:rPr>
        <w:t xml:space="preserve">  2.4 小样本学习背景下的DDI预测</w:t>
      </w:r>
    </w:p>
    <w:p>
      <w:pPr>
        <w:ind w:firstLine="0"/>
        <w:jc w:val="left"/>
      </w:pPr>
      <w:r>
        <w:rPr>
          <w:rFonts w:eastAsia="宋体" w:ascii="Times New Roman" w:hAnsi="Times New Roman"/>
          <w:b w:val="0"/>
          <w:color w:val="000000"/>
          <w:sz w:val="24"/>
        </w:rPr>
        <w:t xml:space="preserve">  2.5 模型轻量化技术</w:t>
      </w:r>
    </w:p>
    <w:p>
      <w:pPr>
        <w:ind w:firstLine="0"/>
        <w:jc w:val="left"/>
      </w:pPr>
      <w:r>
        <w:rPr>
          <w:rFonts w:eastAsia="宋体" w:ascii="Times New Roman" w:hAnsi="Times New Roman"/>
          <w:b/>
          <w:color w:val="000000"/>
          <w:sz w:val="24"/>
        </w:rPr>
        <w:t>第三章  KnowDDI模型分析与基准复现</w:t>
      </w:r>
    </w:p>
    <w:p>
      <w:pPr>
        <w:ind w:firstLine="0"/>
        <w:jc w:val="left"/>
      </w:pPr>
      <w:r>
        <w:rPr>
          <w:rFonts w:eastAsia="宋体" w:ascii="Times New Roman" w:hAnsi="Times New Roman"/>
          <w:b w:val="0"/>
          <w:color w:val="000000"/>
          <w:sz w:val="24"/>
        </w:rPr>
        <w:t xml:space="preserve">  3.1 KnowDDI模型整体架构</w:t>
      </w:r>
    </w:p>
    <w:p>
      <w:pPr>
        <w:ind w:firstLine="0"/>
        <w:jc w:val="left"/>
      </w:pPr>
      <w:r>
        <w:rPr>
          <w:rFonts w:eastAsia="宋体" w:ascii="Times New Roman" w:hAnsi="Times New Roman"/>
          <w:b w:val="0"/>
          <w:color w:val="000000"/>
          <w:sz w:val="24"/>
        </w:rPr>
        <w:t xml:space="preserve">  3.2 模型关键模块详解</w:t>
      </w:r>
    </w:p>
    <w:p>
      <w:pPr>
        <w:ind w:firstLine="0"/>
        <w:jc w:val="left"/>
      </w:pPr>
      <w:r>
        <w:rPr>
          <w:rFonts w:eastAsia="宋体" w:ascii="Times New Roman" w:hAnsi="Times New Roman"/>
          <w:b w:val="0"/>
          <w:color w:val="000000"/>
          <w:sz w:val="24"/>
        </w:rPr>
        <w:t xml:space="preserve">  3.3 实验环境与数据集准备</w:t>
      </w:r>
    </w:p>
    <w:p>
      <w:pPr>
        <w:ind w:firstLine="0"/>
        <w:jc w:val="left"/>
      </w:pPr>
      <w:r>
        <w:rPr>
          <w:rFonts w:eastAsia="宋体" w:ascii="Times New Roman" w:hAnsi="Times New Roman"/>
          <w:b w:val="0"/>
          <w:color w:val="000000"/>
          <w:sz w:val="24"/>
        </w:rPr>
        <w:t xml:space="preserve">  3.4 基准模型复现结果</w:t>
      </w:r>
    </w:p>
    <w:p>
      <w:pPr>
        <w:ind w:firstLine="0"/>
        <w:jc w:val="left"/>
      </w:pPr>
      <w:r>
        <w:rPr>
          <w:rFonts w:eastAsia="宋体" w:ascii="Times New Roman" w:hAnsi="Times New Roman"/>
          <w:b w:val="0"/>
          <w:color w:val="000000"/>
          <w:sz w:val="24"/>
        </w:rPr>
        <w:t xml:space="preserve">  3.5 典型药物对知识子图路径分析</w:t>
      </w:r>
    </w:p>
    <w:p>
      <w:pPr>
        <w:ind w:firstLine="0"/>
        <w:jc w:val="left"/>
      </w:pPr>
      <w:r>
        <w:rPr>
          <w:rFonts w:eastAsia="宋体" w:ascii="Times New Roman" w:hAnsi="Times New Roman"/>
          <w:b/>
          <w:color w:val="000000"/>
          <w:sz w:val="24"/>
        </w:rPr>
        <w:t>第四章  图结构学习机制的消融解耦研究</w:t>
      </w:r>
    </w:p>
    <w:p>
      <w:pPr>
        <w:ind w:firstLine="0"/>
        <w:jc w:val="left"/>
      </w:pPr>
      <w:r>
        <w:rPr>
          <w:rFonts w:eastAsia="宋体" w:ascii="Times New Roman" w:hAnsi="Times New Roman"/>
          <w:b w:val="0"/>
          <w:color w:val="000000"/>
          <w:sz w:val="24"/>
        </w:rPr>
        <w:t xml:space="preserve">  4.1 消融实验设计</w:t>
      </w:r>
    </w:p>
    <w:p>
      <w:pPr>
        <w:ind w:firstLine="0"/>
        <w:jc w:val="left"/>
      </w:pPr>
      <w:r>
        <w:rPr>
          <w:rFonts w:eastAsia="宋体" w:ascii="Times New Roman" w:hAnsi="Times New Roman"/>
          <w:b w:val="0"/>
          <w:color w:val="000000"/>
          <w:sz w:val="24"/>
        </w:rPr>
        <w:t xml:space="preserve">  4.2 DrugBank消融实验结果与分析</w:t>
      </w:r>
    </w:p>
    <w:p>
      <w:pPr>
        <w:ind w:firstLine="0"/>
        <w:jc w:val="left"/>
      </w:pPr>
      <w:r>
        <w:rPr>
          <w:rFonts w:eastAsia="宋体" w:ascii="Times New Roman" w:hAnsi="Times New Roman"/>
          <w:b w:val="0"/>
          <w:color w:val="000000"/>
          <w:sz w:val="24"/>
        </w:rPr>
        <w:t xml:space="preserve">  4.3 TWOSIDES消融实验结果与分析</w:t>
      </w:r>
    </w:p>
    <w:p>
      <w:pPr>
        <w:ind w:firstLine="0"/>
        <w:jc w:val="left"/>
      </w:pPr>
      <w:r>
        <w:rPr>
          <w:rFonts w:eastAsia="宋体" w:ascii="Times New Roman" w:hAnsi="Times New Roman"/>
          <w:b w:val="0"/>
          <w:color w:val="000000"/>
          <w:sz w:val="24"/>
        </w:rPr>
        <w:t xml:space="preserve">  4.4 跨数据集对比与综合分析</w:t>
      </w:r>
    </w:p>
    <w:p>
      <w:pPr>
        <w:ind w:firstLine="0"/>
        <w:jc w:val="left"/>
      </w:pPr>
      <w:r>
        <w:rPr>
          <w:rFonts w:eastAsia="宋体" w:ascii="Times New Roman" w:hAnsi="Times New Roman"/>
          <w:b/>
          <w:color w:val="000000"/>
          <w:sz w:val="24"/>
        </w:rPr>
        <w:t>第五章  面向边缘部署的轻量化重构与评测</w:t>
      </w:r>
    </w:p>
    <w:p>
      <w:pPr>
        <w:ind w:firstLine="0"/>
        <w:jc w:val="left"/>
      </w:pPr>
      <w:r>
        <w:rPr>
          <w:rFonts w:eastAsia="宋体" w:ascii="Times New Roman" w:hAnsi="Times New Roman"/>
          <w:b w:val="0"/>
          <w:color w:val="000000"/>
          <w:sz w:val="24"/>
        </w:rPr>
        <w:t xml:space="preserve">  5.1 轻量化方案设计</w:t>
      </w:r>
    </w:p>
    <w:p>
      <w:pPr>
        <w:ind w:firstLine="0"/>
        <w:jc w:val="left"/>
      </w:pPr>
      <w:r>
        <w:rPr>
          <w:rFonts w:eastAsia="宋体" w:ascii="Times New Roman" w:hAnsi="Times New Roman"/>
          <w:b w:val="0"/>
          <w:color w:val="000000"/>
          <w:sz w:val="24"/>
        </w:rPr>
        <w:t xml:space="preserve">  5.2 不同压缩比例下的性能预实验</w:t>
      </w:r>
    </w:p>
    <w:p>
      <w:pPr>
        <w:ind w:firstLine="0"/>
        <w:jc w:val="left"/>
      </w:pPr>
      <w:r>
        <w:rPr>
          <w:rFonts w:eastAsia="宋体" w:ascii="Times New Roman" w:hAnsi="Times New Roman"/>
          <w:b w:val="0"/>
          <w:color w:val="000000"/>
          <w:sz w:val="24"/>
        </w:rPr>
        <w:t xml:space="preserve">  5.3 正式轻量化方案评测结果</w:t>
      </w:r>
    </w:p>
    <w:p>
      <w:pPr>
        <w:ind w:firstLine="0"/>
        <w:jc w:val="left"/>
      </w:pPr>
      <w:r>
        <w:rPr>
          <w:rFonts w:eastAsia="宋体" w:ascii="Times New Roman" w:hAnsi="Times New Roman"/>
          <w:b w:val="0"/>
          <w:color w:val="000000"/>
          <w:sz w:val="24"/>
        </w:rPr>
        <w:t xml:space="preserve">  5.4 轻量化适用边界与折中关系总结</w:t>
      </w:r>
    </w:p>
    <w:p>
      <w:pPr>
        <w:ind w:firstLine="0"/>
        <w:jc w:val="left"/>
      </w:pPr>
      <w:r>
        <w:rPr>
          <w:rFonts w:eastAsia="宋体" w:ascii="Times New Roman" w:hAnsi="Times New Roman"/>
          <w:b w:val="0"/>
          <w:color w:val="000000"/>
          <w:sz w:val="24"/>
        </w:rPr>
        <w:t xml:space="preserve">  5.5 轻量化模型的可解释性验证</w:t>
      </w:r>
    </w:p>
    <w:p>
      <w:pPr>
        <w:ind w:firstLine="0"/>
        <w:jc w:val="left"/>
      </w:pPr>
      <w:r>
        <w:rPr>
          <w:rFonts w:eastAsia="宋体" w:ascii="Times New Roman" w:hAnsi="Times New Roman"/>
          <w:b/>
          <w:color w:val="000000"/>
          <w:sz w:val="24"/>
        </w:rPr>
        <w:t>第六章  总结与展望</w:t>
      </w:r>
    </w:p>
    <w:p>
      <w:pPr>
        <w:ind w:firstLine="0"/>
        <w:jc w:val="left"/>
      </w:pPr>
      <w:r>
        <w:rPr>
          <w:rFonts w:eastAsia="宋体" w:ascii="Times New Roman" w:hAnsi="Times New Roman"/>
          <w:b w:val="0"/>
          <w:color w:val="000000"/>
          <w:sz w:val="24"/>
        </w:rPr>
        <w:t xml:space="preserve">  6.1 工作总结</w:t>
      </w:r>
    </w:p>
    <w:p>
      <w:pPr>
        <w:ind w:firstLine="0"/>
        <w:jc w:val="left"/>
      </w:pPr>
      <w:r>
        <w:rPr>
          <w:rFonts w:eastAsia="宋体" w:ascii="Times New Roman" w:hAnsi="Times New Roman"/>
          <w:b w:val="0"/>
          <w:color w:val="000000"/>
          <w:sz w:val="24"/>
        </w:rPr>
        <w:t xml:space="preserve">  6.2 研究局限性</w:t>
      </w:r>
    </w:p>
    <w:p>
      <w:pPr>
        <w:ind w:firstLine="0"/>
        <w:jc w:val="left"/>
      </w:pPr>
      <w:r>
        <w:rPr>
          <w:rFonts w:eastAsia="宋体" w:ascii="Times New Roman" w:hAnsi="Times New Roman"/>
          <w:b w:val="0"/>
          <w:color w:val="000000"/>
          <w:sz w:val="24"/>
        </w:rPr>
        <w:t xml:space="preserve">  6.3 研究展望</w:t>
      </w:r>
    </w:p>
    <w:p>
      <w:pPr>
        <w:ind w:firstLine="0"/>
        <w:jc w:val="left"/>
      </w:pPr>
      <w:r>
        <w:rPr>
          <w:rFonts w:eastAsia="宋体" w:ascii="Times New Roman" w:hAnsi="Times New Roman"/>
          <w:b/>
          <w:color w:val="000000"/>
          <w:sz w:val="24"/>
        </w:rPr>
        <w:t>参考文献</w:t>
      </w:r>
    </w:p>
    <w:p>
      <w:pPr>
        <w:ind w:firstLine="0"/>
        <w:jc w:val="left"/>
      </w:pPr>
      <w:r>
        <w:rPr>
          <w:rFonts w:eastAsia="宋体" w:ascii="Times New Roman" w:hAnsi="Times New Roman"/>
          <w:b/>
          <w:color w:val="000000"/>
          <w:sz w:val="24"/>
        </w:rPr>
        <w:t>致谢</w:t>
      </w:r>
    </w:p>
    <w:p>
      <w:r>
        <w:br w:type="page"/>
      </w:r>
    </w:p>
    <w:p>
      <w:pPr>
        <w:spacing w:before="240" w:after="240"/>
        <w:ind w:firstLine="0"/>
        <w:jc w:val="center"/>
      </w:pPr>
      <w:r>
        <w:rPr>
          <w:rFonts w:eastAsia="黑体" w:ascii="Arial" w:hAnsi="Arial"/>
          <w:b/>
          <w:color w:val="000000"/>
          <w:sz w:val="32"/>
        </w:rPr>
        <w:t>第一章  绪论</w:t>
      </w:r>
    </w:p>
    <w:p>
      <w:pPr>
        <w:spacing w:before="120" w:after="120"/>
        <w:ind w:firstLine="0"/>
        <w:jc w:val="left"/>
      </w:pPr>
      <w:r>
        <w:rPr>
          <w:rFonts w:eastAsia="黑体" w:ascii="Arial" w:hAnsi="Arial"/>
          <w:b/>
          <w:color w:val="000000"/>
          <w:sz w:val="28"/>
        </w:rPr>
        <w:t>1.1 研究背景与意义</w:t>
      </w:r>
    </w:p>
    <w:p>
      <w:pPr>
        <w:ind w:firstLine="482"/>
        <w:jc w:val="both"/>
        <w:spacing w:line="440" w:lineRule="exact"/>
      </w:pPr>
      <w:r>
        <w:rPr>
          <w:rFonts w:eastAsia="宋体" w:ascii="Times New Roman" w:hAnsi="Times New Roman"/>
          <w:b w:val="0"/>
          <w:color w:val="000000"/>
          <w:sz w:val="24"/>
        </w:rPr>
        <w:t>药物-药物相互作用（Drug-Drug Interaction, DDI）是临床治疗与药物研发中的关键问题。一方面，合理的联合用药（如治疗HIV、COVID-19的组合疗法）能有效治疗复杂疾病；另一方面，未知的DDI是导致药物不良反应的主要原因之一，严重威胁患者生命安全。传统基于实验室研究的DDI发现方法成本高昂、周期漫长，难以应对海量新药研发和临床用药安全的需求</w:t>
      </w:r>
      <w:r>
        <w:rPr>
          <w:rFonts w:eastAsia="宋体" w:ascii="Times New Roman" w:hAnsi="Times New Roman"/>
          <w:b w:val="0"/>
          <w:color w:val="FF0000"/>
          <w:sz w:val="24"/>
        </w:rPr>
        <w:t>[14]</w:t>
      </w:r>
      <w:r>
        <w:rPr>
          <w:rFonts w:eastAsia="宋体" w:ascii="Times New Roman" w:hAnsi="Times New Roman"/>
          <w:b w:val="0"/>
          <w:color w:val="000000"/>
          <w:sz w:val="24"/>
        </w:rPr>
        <w:t>。</w:t>
      </w:r>
    </w:p>
    <w:p>
      <w:pPr>
        <w:ind w:firstLine="482"/>
        <w:jc w:val="both"/>
        <w:spacing w:line="440" w:lineRule="exact"/>
      </w:pPr>
      <w:r>
        <w:rPr>
          <w:rFonts w:eastAsia="宋体" w:ascii="Times New Roman" w:hAnsi="Times New Roman"/>
          <w:b w:val="0"/>
          <w:color w:val="000000"/>
          <w:sz w:val="24"/>
        </w:rPr>
        <w:t>近年来，基于深度学习，尤其是图神经网络（Graph Neural Network, GNN）的计算方法为高效预测DDI提供了新思路。然而，已知的DDI事实三元组数量极少（如DrugBank数据库中不足潜在DDI总数的1%），使得参数过多的深度学习模型容易过拟合，甚至表现不如传统的两阶段嵌入方法。与此同时，生物医学领域积累了丰富的、结构化的先验知识，并被整合为大规模生物医学知识图谱（Knowledge Graph, KG），如Hetionet、PharmKG等。如何有效利用这些外部KG来补偿DDI样本的稀缺性，并提升预测模型的可解释性，成为当前研究的核心挑战。</w:t>
      </w:r>
    </w:p>
    <w:p>
      <w:pPr>
        <w:ind w:firstLine="482"/>
        <w:jc w:val="both"/>
        <w:spacing w:line="440" w:lineRule="exact"/>
      </w:pPr>
      <w:r>
        <w:rPr>
          <w:rFonts w:eastAsia="宋体" w:ascii="Times New Roman" w:hAnsi="Times New Roman"/>
          <w:b w:val="0"/>
          <w:color w:val="000000"/>
          <w:sz w:val="24"/>
        </w:rPr>
        <w:t>本课题以现有KG增强DDI预测方法在"机制透明度"与"工程实用性"两方面存在的不足为切入点，针对性地设计研究内容与改进方案。具体不足及对应工作如下：</w:t>
      </w:r>
    </w:p>
    <w:p>
      <w:pPr>
        <w:ind w:firstLine="482"/>
        <w:jc w:val="both"/>
        <w:spacing w:line="440" w:lineRule="exact"/>
      </w:pPr>
      <w:r>
        <w:rPr>
          <w:rFonts w:eastAsia="宋体" w:ascii="Times New Roman" w:hAnsi="Times New Roman"/>
          <w:b w:val="0"/>
          <w:color w:val="008B00"/>
          <w:sz w:val="24"/>
        </w:rPr>
        <w:t>（1）针对"图结构学习中去噪与补全功能耦合不可分"的不足。在KnowDDI等代表性方法中，"动态去除噪声边"与"动态补全潜在边"这两类操作被封装在同一个图结构学习模块内联合训练，二者对最终预测结果的独立贡献无法从原始指标中直接读出，也缺乏在多类别（DrugBank）与多标签（TWOSIDES）任务下的对比分析。针对该问题，本文设计严格受控的消融实验，将原模块拆分为baseline（仅使用原始KG）、仅去噪、仅补全、去噪+补全四组变体，在统一训练协议下定量对比Macro-F1、ACC、Cohen's κ等指标，从而对去噪与补全机制进行解耦量化，初步分析两类操作在不同任务设定下的边际贡献差异。</w:t>
      </w:r>
    </w:p>
    <w:p>
      <w:pPr>
        <w:ind w:firstLine="482"/>
        <w:jc w:val="both"/>
        <w:spacing w:line="440" w:lineRule="exact"/>
      </w:pPr>
      <w:r>
        <w:rPr>
          <w:rFonts w:eastAsia="宋体" w:ascii="Times New Roman" w:hAnsi="Times New Roman"/>
          <w:b w:val="0"/>
          <w:color w:val="008B00"/>
          <w:sz w:val="24"/>
        </w:rPr>
        <w:t>（2）针对"模型参数量与子图规模冗余、推理资源开销偏高"的不足。现有KG增强DDI模型为追求精度普遍采用较深的GNN层数、较高的隐层维度以及稠密的子图采样策略，在常见硬件条件下存在推理时延与显存占用偏高的问题，但已有工作较少系统讨论"拓扑维度"与"参数维度"压缩的相对收益。针对该问题，本文在保持原模型整体框架不变的前提下，从子图稀疏采样（每跳保留节点数、候选边数）与特征/层数压缩（隐层维度、迭代深度）两个维度构造多档压缩比例的轻量化变体，并完整实现了轻量化版本的训练与推理流程；在统一评测条件下，所提变体在DrugBank与TWOSIDES上均实现了推理时延与显存峰值的显著下降，同时将精度损失控制在可接受范围内，最终给出兼顾精度与资源占用的推荐配置。</w:t>
      </w:r>
    </w:p>
    <w:p>
      <w:pPr>
        <w:ind w:firstLine="482"/>
        <w:jc w:val="both"/>
        <w:spacing w:line="440" w:lineRule="exact"/>
      </w:pPr>
      <w:r>
        <w:rPr>
          <w:rFonts w:eastAsia="宋体" w:ascii="Times New Roman" w:hAnsi="Times New Roman"/>
          <w:b w:val="0"/>
          <w:color w:val="008B00"/>
          <w:sz w:val="24"/>
        </w:rPr>
        <w:t>本研究的意义可概括为以下三点。其一，明确任务边界：本文在DrugBank上预测药物对所属的86类DDI关系（多分类），在TWOSIDES上预测药物对涉及的200类DDI关系标签（多标签），预测对象是知识图谱中药物对之间的关系类型，而非直接判定临床不良反应。准确的关系类型预测可为联合用药审查与高风险药物对的优先排序提供候选线索。其二，降低筛选成本：相比体外/体内实验，模型可在大规模药物对空间中快速给出候选结果，缩小后续实验验证范围。其三，方法层面参考价值：通过对图结构学习中去噪与补全机制的定量解耦，以及在子图拓扑与模型参数两个维度上的轻量化分析，可为后续KG增强GNN的模块贡献评估与压缩方案选型提供参考。</w:t>
      </w:r>
    </w:p>
    <w:p>
      <w:pPr>
        <w:spacing w:before="120" w:after="120"/>
        <w:ind w:firstLine="0"/>
        <w:jc w:val="left"/>
      </w:pPr>
      <w:r>
        <w:rPr>
          <w:rFonts w:eastAsia="黑体" w:ascii="Arial" w:hAnsi="Arial"/>
          <w:b/>
          <w:color w:val="000000"/>
          <w:sz w:val="28"/>
        </w:rPr>
        <w:t>1.2 国内外研究现状</w:t>
      </w:r>
    </w:p>
    <w:p>
      <w:pPr>
        <w:spacing w:before="120" w:after="120"/>
        <w:ind w:firstLine="0"/>
        <w:jc w:val="left"/>
      </w:pPr>
      <w:r>
        <w:rPr>
          <w:rFonts w:eastAsia="黑体" w:ascii="Arial" w:hAnsi="Arial"/>
          <w:b/>
          <w:color w:val="000000"/>
          <w:sz w:val="28"/>
        </w:rPr>
        <w:t>1.2.1 DDI预测方法概述</w:t>
      </w:r>
    </w:p>
    <w:p>
      <w:pPr>
        <w:ind w:firstLine="482"/>
        <w:jc w:val="both"/>
        <w:spacing w:line="440" w:lineRule="exact"/>
      </w:pPr>
      <w:r>
        <w:rPr>
          <w:rFonts w:eastAsia="宋体" w:ascii="Times New Roman" w:hAnsi="Times New Roman"/>
          <w:b w:val="0"/>
          <w:color w:val="000000"/>
          <w:sz w:val="24"/>
        </w:rPr>
        <w:t>DDI预测方法的发展大体经历了由浅层嵌入到端到端图神经网络、再到引入外部知识图谱的演进过程，本节按此脉络梳理代表性工作。</w:t>
      </w:r>
    </w:p>
    <w:p>
      <w:pPr>
        <w:ind w:firstLine="482"/>
        <w:jc w:val="both"/>
        <w:spacing w:line="440" w:lineRule="exact"/>
      </w:pPr>
      <w:r>
        <w:rPr>
          <w:rFonts w:eastAsia="宋体" w:ascii="Times New Roman" w:hAnsi="Times New Roman"/>
          <w:b w:val="0"/>
          <w:color w:val="000000"/>
          <w:sz w:val="24"/>
        </w:rPr>
        <w:t>早期研究普遍将DDI视为知识图谱中的链路预测问题，采用先学习节点表示再训练分类器的两阶段范式。Bordes等人</w:t>
      </w:r>
      <w:r>
        <w:rPr>
          <w:rFonts w:eastAsia="宋体" w:ascii="Times New Roman" w:hAnsi="Times New Roman"/>
          <w:b w:val="0"/>
          <w:color w:val="FF0000"/>
          <w:sz w:val="24"/>
        </w:rPr>
        <w:t>[1]</w:t>
      </w:r>
      <w:r>
        <w:rPr>
          <w:rFonts w:eastAsia="宋体" w:ascii="Times New Roman" w:hAnsi="Times New Roman"/>
          <w:b w:val="0"/>
          <w:color w:val="000000"/>
          <w:sz w:val="24"/>
        </w:rPr>
        <w:t>提出的TransE通过翻译式打分函数学习实体与关系的低维嵌入，Grover等人</w:t>
      </w:r>
      <w:r>
        <w:rPr>
          <w:rFonts w:eastAsia="宋体" w:ascii="Times New Roman" w:hAnsi="Times New Roman"/>
          <w:b w:val="0"/>
          <w:color w:val="FF0000"/>
          <w:sz w:val="24"/>
        </w:rPr>
        <w:t>[2]</w:t>
      </w:r>
      <w:r>
        <w:rPr>
          <w:rFonts w:eastAsia="宋体" w:ascii="Times New Roman" w:hAnsi="Times New Roman"/>
          <w:b w:val="0"/>
          <w:color w:val="000000"/>
          <w:sz w:val="24"/>
        </w:rPr>
        <w:t>提出的node2vec通过偏置随机游走捕获网络的局部与全局结构。该类方法实现简单、训练代价低，但表示学习与下游预测相互解耦，难以刻画药物之间的非线性交互，对细粒度DDI类型的区分能力有限。</w:t>
      </w:r>
    </w:p>
    <w:p>
      <w:pPr>
        <w:ind w:firstLine="482"/>
        <w:jc w:val="both"/>
        <w:spacing w:line="440" w:lineRule="exact"/>
      </w:pPr>
      <w:r>
        <w:rPr>
          <w:rFonts w:eastAsia="宋体" w:ascii="Times New Roman" w:hAnsi="Times New Roman"/>
          <w:b w:val="0"/>
          <w:color w:val="000000"/>
          <w:sz w:val="24"/>
        </w:rPr>
        <w:t>为突破上述表达能力瓶颈，图神经网络被引入DDI建模。Zitnik等人</w:t>
      </w:r>
      <w:r>
        <w:rPr>
          <w:rFonts w:eastAsia="宋体" w:ascii="Times New Roman" w:hAnsi="Times New Roman"/>
          <w:b w:val="0"/>
          <w:color w:val="FF0000"/>
          <w:sz w:val="24"/>
        </w:rPr>
        <w:t>[3]</w:t>
      </w:r>
      <w:r>
        <w:rPr>
          <w:rFonts w:eastAsia="宋体" w:ascii="Times New Roman" w:hAnsi="Times New Roman"/>
          <w:b w:val="0"/>
          <w:color w:val="000000"/>
          <w:sz w:val="24"/>
        </w:rPr>
        <w:t>提出的Decagon在多关系图上构建图卷积网络，对多类型DDI进行联合建模；Huang等人</w:t>
      </w:r>
      <w:r>
        <w:rPr>
          <w:rFonts w:eastAsia="宋体" w:ascii="Times New Roman" w:hAnsi="Times New Roman"/>
          <w:b w:val="0"/>
          <w:color w:val="FF0000"/>
          <w:sz w:val="24"/>
        </w:rPr>
        <w:t>[4]</w:t>
      </w:r>
      <w:r>
        <w:rPr>
          <w:rFonts w:eastAsia="宋体" w:ascii="Times New Roman" w:hAnsi="Times New Roman"/>
          <w:b w:val="0"/>
          <w:color w:val="000000"/>
          <w:sz w:val="24"/>
        </w:rPr>
        <w:t>提出的SkipGNN通过跳跃连接在不增加层数的条件下扩展感受野。该类方法将表示学习与预测任务整合于统一的端到端框架，整体性能优于两阶段方法，但其对已知DDI样本依赖较强，在DrugBank等已知三元组占比不足1%的稀疏场景下易出现过拟合，对长尾关系类别的泛化能力较弱。</w:t>
      </w:r>
    </w:p>
    <w:p>
      <w:pPr>
        <w:ind w:firstLine="482"/>
        <w:jc w:val="both"/>
        <w:spacing w:line="440" w:lineRule="exact"/>
      </w:pPr>
      <w:r>
        <w:rPr>
          <w:rFonts w:eastAsia="宋体" w:ascii="Times New Roman" w:hAnsi="Times New Roman"/>
          <w:b w:val="0"/>
          <w:color w:val="000000"/>
          <w:sz w:val="24"/>
        </w:rPr>
        <w:t>为补偿DDI样本的稀缺性，近期工作开始引入外部生物医学知识图谱作为先验。Lin等人</w:t>
      </w:r>
      <w:r>
        <w:rPr>
          <w:rFonts w:eastAsia="宋体" w:ascii="Times New Roman" w:hAnsi="Times New Roman"/>
          <w:b w:val="0"/>
          <w:color w:val="FF0000"/>
          <w:sz w:val="24"/>
        </w:rPr>
        <w:t>[5]</w:t>
      </w:r>
      <w:r>
        <w:rPr>
          <w:rFonts w:eastAsia="宋体" w:ascii="Times New Roman" w:hAnsi="Times New Roman"/>
          <w:b w:val="0"/>
          <w:color w:val="000000"/>
          <w:sz w:val="24"/>
        </w:rPr>
        <w:t>提出的KGNN以药物为中心在KG上进行邻域聚合，将KG上下文编码进药物表示；Yu等人</w:t>
      </w:r>
      <w:r>
        <w:rPr>
          <w:rFonts w:eastAsia="宋体" w:ascii="Times New Roman" w:hAnsi="Times New Roman"/>
          <w:b w:val="0"/>
          <w:color w:val="FF0000"/>
          <w:sz w:val="24"/>
        </w:rPr>
        <w:t>[6]</w:t>
      </w:r>
      <w:r>
        <w:rPr>
          <w:rFonts w:eastAsia="宋体" w:ascii="Times New Roman" w:hAnsi="Times New Roman"/>
          <w:b w:val="0"/>
          <w:color w:val="000000"/>
          <w:sz w:val="24"/>
        </w:rPr>
        <w:t>提出的SumGNN将局部子图提取与图注意力相结合，实现对子图信息的加权汇聚；本课题关注的KnowDDI</w:t>
      </w:r>
      <w:r>
        <w:rPr>
          <w:rFonts w:eastAsia="宋体" w:ascii="Times New Roman" w:hAnsi="Times New Roman"/>
          <w:b w:val="0"/>
          <w:color w:val="FF0000"/>
          <w:sz w:val="24"/>
        </w:rPr>
        <w:t>[7]</w:t>
      </w:r>
      <w:r>
        <w:rPr>
          <w:rFonts w:eastAsia="宋体" w:ascii="Times New Roman" w:hAnsi="Times New Roman"/>
          <w:b w:val="0"/>
          <w:color w:val="000000"/>
          <w:sz w:val="24"/>
        </w:rPr>
        <w:t>在此基础上进一步引入图结构学习机制，针对KG中的噪声边与缺失边问题，在子图上同时执行边的动态删除与潜在边的动态补全。该类方法可有效利用KG的多跳路径信息，在小样本场景下显著提升预测精度并具备一定的可解释性，但普遍依赖较深的GNN层级、较高的隐层维度与较稠密的子图采样，参数量与推理开销显著高于前两类方法。</w:t>
      </w:r>
    </w:p>
    <w:p>
      <w:pPr>
        <w:spacing w:before="120" w:after="120"/>
        <w:ind w:firstLine="0"/>
        <w:jc w:val="left"/>
      </w:pPr>
      <w:r>
        <w:rPr>
          <w:rFonts w:eastAsia="黑体" w:ascii="Arial" w:hAnsi="Arial"/>
          <w:b/>
          <w:color w:val="000000"/>
          <w:sz w:val="28"/>
        </w:rPr>
        <w:t>1.2.2 现有研究的不足</w:t>
      </w:r>
    </w:p>
    <w:p>
      <w:pPr>
        <w:ind w:firstLine="482"/>
        <w:jc w:val="both"/>
        <w:spacing w:line="440" w:lineRule="exact"/>
      </w:pPr>
      <w:r>
        <w:rPr>
          <w:rFonts w:eastAsia="宋体" w:ascii="Times New Roman" w:hAnsi="Times New Roman"/>
          <w:b w:val="0"/>
          <w:color w:val="000000"/>
          <w:sz w:val="24"/>
        </w:rPr>
        <w:t>尽管KG增强类方法已成为当前DDI预测的主流路线，但仍存在两点尚未被充分讨论的问题。其一，在以KnowDDI为代表的图结构学习方案中，"去噪"（动态删除可疑边）与"补全"（动态添加潜在边）通常被封装于同一模块进行联合优化，二者对最终预测性能的独立贡献无法从原始指标中直接读出，也缺乏在多分类任务（DrugBank）与多标签任务（TWOSIDES）下的对比分析，机制层面的可解释性受到限制。其二，该类模型为追求精度普遍采用较深的GNN层数、较高的特征维度以及稠密的子图采样策略，推理时延与显存占用在常见硬件条件下偏高，而已有工作较少从子图拓扑与模型参数两个维度对压缩方案的代价收益进行系统比较。本文的研究内容即围绕上述两点不足展开。</w:t>
      </w:r>
    </w:p>
    <w:p>
      <w:pPr>
        <w:spacing w:before="120" w:after="120"/>
        <w:ind w:firstLine="0"/>
        <w:jc w:val="left"/>
      </w:pPr>
      <w:r>
        <w:rPr>
          <w:rFonts w:eastAsia="黑体" w:ascii="Arial" w:hAnsi="Arial"/>
          <w:b/>
          <w:color w:val="000000"/>
          <w:sz w:val="28"/>
        </w:rPr>
        <w:t>1.3 研究内容与创新点</w:t>
      </w:r>
    </w:p>
    <w:p>
      <w:pPr>
        <w:spacing w:before="120" w:after="120"/>
        <w:ind w:firstLine="0"/>
        <w:jc w:val="left"/>
      </w:pPr>
      <w:r>
        <w:rPr>
          <w:rFonts w:eastAsia="黑体" w:ascii="Arial" w:hAnsi="Arial"/>
          <w:b/>
          <w:color w:val="000000"/>
          <w:sz w:val="28"/>
        </w:rPr>
        <w:t>1.3.1 主要研究内容</w:t>
      </w:r>
    </w:p>
    <w:p>
      <w:pPr>
        <w:ind w:firstLine="482"/>
        <w:jc w:val="both"/>
        <w:spacing w:line="440" w:lineRule="exact"/>
      </w:pPr>
      <w:r>
        <w:rPr>
          <w:rFonts w:eastAsia="宋体" w:ascii="Times New Roman" w:hAnsi="Times New Roman"/>
          <w:b w:val="0"/>
          <w:color w:val="008B00"/>
          <w:sz w:val="24"/>
        </w:rPr>
        <w:t>围绕1.2.2节指出的两点不足，本文以KnowDDI为基线模型，开展两条主线工作：一是对图结构学习模块中"去噪"与"补全"两类操作进行功能解耦与定量评估；二是在不改变原模型整体框架的前提下，从子图拓扑与网络参数两个维度对模型进行压缩并系统评测精度-资源折中关系。基线复现与综合分析作为支撑性工作贯穿其中。具体研究内容如下：</w:t>
      </w:r>
    </w:p>
    <w:p>
      <w:pPr>
        <w:ind w:firstLine="482"/>
        <w:jc w:val="both"/>
        <w:spacing w:line="440" w:lineRule="exact"/>
      </w:pPr>
      <w:r>
        <w:rPr>
          <w:rFonts w:eastAsia="宋体" w:ascii="Times New Roman" w:hAnsi="Times New Roman"/>
          <w:b w:val="0"/>
          <w:color w:val="008B00"/>
          <w:sz w:val="24"/>
        </w:rPr>
        <w:t>（1）KnowDDI基线复现与统一评测协议构建</w:t>
      </w:r>
    </w:p>
    <w:p>
      <w:pPr>
        <w:ind w:firstLine="482"/>
        <w:jc w:val="both"/>
        <w:spacing w:line="440" w:lineRule="exact"/>
      </w:pPr>
      <w:r>
        <w:rPr>
          <w:rFonts w:eastAsia="宋体" w:ascii="Times New Roman" w:hAnsi="Times New Roman"/>
          <w:b w:val="0"/>
          <w:color w:val="008B00"/>
          <w:sz w:val="24"/>
        </w:rPr>
        <w:t>在本地环境下复现KnowDDI在DrugBank（多分类，86类）与TWOSIDES（多标签，200类）上的训练与推理流程，固定数据划分、随机种子、训练轮次与评测指标（Macro-F1、ACC、Cohen's κ及AUROC、AUPRC、AP@50），形成后续两条主线实验共享的统一评测协议。该部分作为支撑性工作，为后续受控变体的指标可比性提供基准。</w:t>
      </w:r>
    </w:p>
    <w:p>
      <w:pPr>
        <w:ind w:firstLine="482"/>
        <w:jc w:val="both"/>
        <w:spacing w:line="440" w:lineRule="exact"/>
      </w:pPr>
      <w:r>
        <w:rPr>
          <w:rFonts w:eastAsia="宋体" w:ascii="Times New Roman" w:hAnsi="Times New Roman"/>
          <w:b w:val="0"/>
          <w:color w:val="008B00"/>
          <w:sz w:val="24"/>
        </w:rPr>
        <w:t>（2）图结构学习中"去噪"与"补全"功能的定量解耦（核心工作之一）</w:t>
      </w:r>
    </w:p>
    <w:p>
      <w:pPr>
        <w:ind w:firstLine="482"/>
        <w:jc w:val="both"/>
        <w:spacing w:line="440" w:lineRule="exact"/>
      </w:pPr>
      <w:r>
        <w:rPr>
          <w:rFonts w:eastAsia="宋体" w:ascii="Times New Roman" w:hAnsi="Times New Roman"/>
          <w:b w:val="0"/>
          <w:color w:val="008B00"/>
          <w:sz w:val="24"/>
        </w:rPr>
        <w:t>针对原模型中两类操作被打包训练、贡献无法分离的问题，本文在不改动主干网络的条件下，通过开关原模块中的边删除分支与边补全分支，构建baseline（仅原始KG子图）、仅去噪、仅补全、去噪+补全四组受控变体，并保持其余超参数完全一致。在DrugBank与TWOSIDES上分别完成训练与评测，对四组变体的核心指标进行配对比较，分析去噪与补全在多分类与多标签任务中的边际贡献差异及适用倾向，给出可观测层面的解耦结论。</w:t>
      </w:r>
    </w:p>
    <w:p>
      <w:pPr>
        <w:ind w:firstLine="482"/>
        <w:jc w:val="both"/>
        <w:spacing w:line="440" w:lineRule="exact"/>
      </w:pPr>
      <w:r>
        <w:rPr>
          <w:rFonts w:eastAsia="宋体" w:ascii="Times New Roman" w:hAnsi="Times New Roman"/>
          <w:b w:val="0"/>
          <w:color w:val="008B00"/>
          <w:sz w:val="24"/>
        </w:rPr>
        <w:t>（3）子图拓扑与网络参数双维度的轻量化模型实现与评测（核心工作之二）</w:t>
      </w:r>
    </w:p>
    <w:p>
      <w:pPr>
        <w:ind w:firstLine="482"/>
        <w:jc w:val="both"/>
        <w:spacing w:line="440" w:lineRule="exact"/>
      </w:pPr>
      <w:r>
        <w:rPr>
          <w:rFonts w:eastAsia="宋体" w:ascii="Times New Roman" w:hAnsi="Times New Roman"/>
          <w:b w:val="0"/>
          <w:color w:val="008B00"/>
          <w:sz w:val="24"/>
        </w:rPr>
        <w:t>针对KG增强模型推理资源开销偏高、压缩方案缺乏系统比较的问题，本文围绕原模型设计并实现了三类轻量化变体：仅子图稀疏采样（调节每跳保留节点数与候选边数）、仅参数压缩（缩减隐层维度并降低GNN迭代深度）、以及两者协同。所有变体共享1.3.1（1）建立的评测协议，统一记录Macro-F1/ACC/Cohen's κ、单批次推理时延与显存峰值。实验结果表明，所实现的协同压缩变体在DrugBank与TWOSIDES上均实现了推理时延与显存占用的显著下降，并将精度损失控制在可接受范围内；在此基础上对比单维与协同压缩在不同压缩档位下的代价收益曲线，确定了兼顾精度与资源占用的推荐配置。</w:t>
      </w:r>
    </w:p>
    <w:p>
      <w:pPr>
        <w:ind w:firstLine="482"/>
        <w:jc w:val="both"/>
        <w:spacing w:line="440" w:lineRule="exact"/>
      </w:pPr>
      <w:r>
        <w:rPr>
          <w:rFonts w:eastAsia="宋体" w:ascii="Times New Roman" w:hAnsi="Times New Roman"/>
          <w:b w:val="0"/>
          <w:color w:val="008B00"/>
          <w:sz w:val="24"/>
        </w:rPr>
        <w:t>（4）实验结果汇总与机制层面的归因分析</w:t>
      </w:r>
    </w:p>
    <w:p>
      <w:pPr>
        <w:ind w:firstLine="482"/>
        <w:jc w:val="both"/>
        <w:spacing w:line="440" w:lineRule="exact"/>
      </w:pPr>
      <w:r>
        <w:rPr>
          <w:rFonts w:eastAsia="宋体" w:ascii="Times New Roman" w:hAnsi="Times New Roman"/>
          <w:b w:val="0"/>
          <w:color w:val="008B00"/>
          <w:sz w:val="24"/>
        </w:rPr>
        <w:t>在上述两条主线实验数据基础上进行统一汇总：对解耦实验，归纳去噪与补全在不同任务粒度下的差异化作用规律及其与KG稀疏度、关系类型分布的对应关系；对轻量化实验，分析拓扑压缩与参数压缩对精度退化曲线和资源占用曲线的不同影响。该部分支撑第六章的总体结论，并对本文方法的局限性进行讨论。</w:t>
      </w:r>
    </w:p>
    <w:p>
      <w:pPr>
        <w:spacing w:before="120" w:after="120"/>
        <w:ind w:firstLine="0"/>
        <w:jc w:val="left"/>
      </w:pPr>
      <w:r>
        <w:rPr>
          <w:rFonts w:eastAsia="黑体" w:ascii="Arial" w:hAnsi="Arial"/>
          <w:b/>
          <w:color w:val="000000"/>
          <w:sz w:val="28"/>
        </w:rPr>
        <w:t>1.3.2 主要创新点</w:t>
      </w:r>
    </w:p>
    <w:p>
      <w:pPr>
        <w:ind w:firstLine="482"/>
        <w:jc w:val="both"/>
        <w:spacing w:line="440" w:lineRule="exact"/>
      </w:pPr>
      <w:r>
        <w:rPr>
          <w:rFonts w:eastAsia="宋体" w:ascii="Times New Roman" w:hAnsi="Times New Roman"/>
          <w:b w:val="0"/>
          <w:color w:val="008B00"/>
          <w:sz w:val="24"/>
        </w:rPr>
        <w:t>围绕上述两条主线工作，本文的创新点可归纳为以下两点：</w:t>
      </w:r>
    </w:p>
    <w:p>
      <w:pPr>
        <w:ind w:firstLine="482"/>
        <w:jc w:val="both"/>
        <w:spacing w:line="440" w:lineRule="exact"/>
      </w:pPr>
      <w:r>
        <w:rPr>
          <w:rFonts w:eastAsia="宋体" w:ascii="Times New Roman" w:hAnsi="Times New Roman"/>
          <w:b w:val="0"/>
          <w:color w:val="008B00"/>
          <w:sz w:val="24"/>
        </w:rPr>
        <w:t>（1）首次将图结构学习中"去噪"与"补全"两类操作在DDI预测任务上进行可观测层面的功能解耦。通过保持主干网络与训练协议不变、仅开关边删除与边补全分支的方式构造受控变体，定量比较两类操作在DrugBank（多分类）与TWOSIDES（多标签）两类任务下对Macro-F1、ACC、Cohen's κ等指标的独立与联合贡献，并结合子图统计量给出贡献差异的拓扑层面解释，弥补了已有工作仅在整体模块层面进行消融、缺乏分离评估的不足。</w:t>
      </w:r>
    </w:p>
    <w:p>
      <w:pPr>
        <w:ind w:firstLine="482"/>
        <w:jc w:val="both"/>
        <w:spacing w:line="440" w:lineRule="exact"/>
      </w:pPr>
      <w:r>
        <w:rPr>
          <w:rFonts w:eastAsia="宋体" w:ascii="Times New Roman" w:hAnsi="Times New Roman"/>
          <w:b w:val="0"/>
          <w:color w:val="008B00"/>
          <w:sz w:val="24"/>
        </w:rPr>
        <w:t>（2）实现并系统评测了KG增强DDI预测模型在"子图拓扑"与"网络参数"两个维度上的轻量化方案。本文将子图稀疏采样、隐层维度与GNN迭代深度作为可调压缩维度，构造并实现了单维变体与协同变体，并在统一评测协议下同时记录精度、推理时延与显存峰值。所实现的协同压缩模型在DrugBank与TWOSIDES上均在精度损失可控的前提下显著降低了推理时延与显存占用，并据此确定了适用于资源受限场景的推荐配置。</w:t>
      </w:r>
    </w:p>
    <w:p>
      <w:pPr>
        <w:spacing w:before="120" w:after="120"/>
        <w:ind w:firstLine="0"/>
        <w:jc w:val="left"/>
      </w:pPr>
      <w:r>
        <w:rPr>
          <w:rFonts w:eastAsia="黑体" w:ascii="Arial" w:hAnsi="Arial"/>
          <w:b/>
          <w:color w:val="000000"/>
          <w:sz w:val="28"/>
        </w:rPr>
        <w:t>1.4 论文结构安排</w:t>
      </w:r>
    </w:p>
    <w:p>
      <w:pPr>
        <w:ind w:firstLine="482"/>
        <w:jc w:val="both"/>
        <w:spacing w:line="440" w:lineRule="exact"/>
      </w:pPr>
      <w:r>
        <w:rPr>
          <w:rFonts w:eastAsia="宋体" w:ascii="Times New Roman" w:hAnsi="Times New Roman"/>
          <w:b w:val="0"/>
          <w:color w:val="000000"/>
          <w:sz w:val="24"/>
        </w:rPr>
        <w:t>本文共分为六章，各章的主要内容安排如下：</w:t>
      </w:r>
    </w:p>
    <w:p>
      <w:pPr>
        <w:ind w:firstLine="482"/>
        <w:jc w:val="both"/>
        <w:spacing w:line="440" w:lineRule="exact"/>
      </w:pPr>
      <w:r>
        <w:rPr>
          <w:rFonts w:eastAsia="宋体" w:ascii="Times New Roman" w:hAnsi="Times New Roman"/>
          <w:b w:val="0"/>
          <w:color w:val="000000"/>
          <w:sz w:val="24"/>
        </w:rPr>
        <w:t>第一章为绪论。介绍本文的研究背景、研究意义、国内外研究现状以及本文的研究内容、创新点和论文结构安排。</w:t>
      </w:r>
    </w:p>
    <w:p>
      <w:pPr>
        <w:ind w:firstLine="482"/>
        <w:jc w:val="both"/>
        <w:spacing w:line="440" w:lineRule="exact"/>
      </w:pPr>
      <w:r>
        <w:rPr>
          <w:rFonts w:eastAsia="宋体" w:ascii="Times New Roman" w:hAnsi="Times New Roman"/>
          <w:b w:val="0"/>
          <w:color w:val="000000"/>
          <w:sz w:val="24"/>
        </w:rPr>
        <w:t>第二章为相关理论与技术基础。系统介绍与本研究相关的基础理论，包括知识图谱与生物医学知识图谱、图神经网络基本原理（GraphSAGE、GAT等）、图结构学习与自适应子图抽取、小样本学习背景下的DDI预测挑战，以及轻量化模型设计的基本思路与常用方法。</w:t>
      </w:r>
    </w:p>
    <w:p>
      <w:pPr>
        <w:ind w:firstLine="482"/>
        <w:jc w:val="both"/>
        <w:spacing w:line="440" w:lineRule="exact"/>
      </w:pPr>
      <w:r>
        <w:rPr>
          <w:rFonts w:eastAsia="宋体" w:ascii="Times New Roman" w:hAnsi="Times New Roman"/>
          <w:b w:val="0"/>
          <w:color w:val="000000"/>
          <w:sz w:val="24"/>
        </w:rPr>
        <w:t>第三章为KnowDDI模型分析与基准复现。详细介绍KnowDDI原始模型的整体架构，包括子图抽取流程、GraphSAGE编码模块、图结构学习模块（去噪与补全机制）以及分类器模块。在此基础上，描述本文的实验环境配置、数据集准备，以及基准复现实验的详细过程与结果，建立后续改进实验的对比基线。</w:t>
      </w:r>
    </w:p>
    <w:p>
      <w:pPr>
        <w:ind w:firstLine="482"/>
        <w:jc w:val="both"/>
        <w:spacing w:line="440" w:lineRule="exact"/>
      </w:pPr>
      <w:r>
        <w:rPr>
          <w:rFonts w:eastAsia="宋体" w:ascii="Times New Roman" w:hAnsi="Times New Roman"/>
          <w:b w:val="0"/>
          <w:color w:val="000000"/>
          <w:sz w:val="24"/>
        </w:rPr>
        <w:t>第四章为图结构学习机制的消融解耦研究。围绕KnowDDI模型中的去噪与补全机制，设计系统性消融实验。构建baseline、仅去噪、仅补全和去噪+补全四组受控变体，在DrugBank与TWOSIDES两个数据集上进行对比实验，定量分析各模块的边际贡献与适用边界。</w:t>
      </w:r>
    </w:p>
    <w:p>
      <w:pPr>
        <w:ind w:firstLine="482"/>
        <w:jc w:val="both"/>
        <w:spacing w:line="440" w:lineRule="exact"/>
      </w:pPr>
      <w:r>
        <w:rPr>
          <w:rFonts w:eastAsia="宋体" w:ascii="Times New Roman" w:hAnsi="Times New Roman"/>
          <w:b w:val="0"/>
          <w:color w:val="000000"/>
          <w:sz w:val="24"/>
        </w:rPr>
        <w:t>第五章为面向边缘部署的轻量化重构与评测。针对医疗边缘计算场景，提出"拓扑-参数"协同轻量化方案。分别评估仅子图稀疏采样、仅多维特征压缩和协同优化三类方案，并通过精度、推理时延与显存峰值等多维指标，分析不同轻量化策略的适用边界与折中关系。</w:t>
      </w:r>
    </w:p>
    <w:p>
      <w:pPr>
        <w:ind w:firstLine="482"/>
        <w:jc w:val="both"/>
        <w:spacing w:line="440" w:lineRule="exact"/>
      </w:pPr>
      <w:r>
        <w:rPr>
          <w:rFonts w:eastAsia="宋体" w:ascii="Times New Roman" w:hAnsi="Times New Roman"/>
          <w:b w:val="0"/>
          <w:color w:val="000000"/>
          <w:sz w:val="24"/>
        </w:rPr>
        <w:t>第六章为总结与展望。总结本文的主要研究内容与实验结论，分析本研究的局限性，并对未来研究方向进行展望。</w:t>
      </w:r>
      <w:r>
        <w:rPr>
          <w:rFonts w:eastAsia="宋体" w:ascii="Times New Roman" w:hAnsi="Times New Roman"/>
          <w:b w:val="0"/>
          <w:color w:val="1F49D8"/>
          <w:sz w:val="24"/>
        </w:rPr>
        <w:t>为便于全文阅读时定位实现细节，需要在此说明本文两条主线工作的代码落点：受控变体仅在`pytorch/model/gsl_model.py`中`graph_structure_learner`新增gsl_mode/use_denoise/use_completion三个开关字段以及denoise_alpha/completion_alpha两个融合系数，并在`pytorch/train.py`中以同名命令行参数透传，使四组消融变体仅在GSL门控分支的启用情况上存在差异；轻量化变体则同时落在拓扑维度（`pytorch/data_processor/subgraph_extraction.py`中max_nodes_per_hop与max_links）与参数维度（`pytorch/model/GraphSAGE.py`中pre_embed的emb_dim、以及gsl_rel_emb_dim与MLP_hidden_dim）两个入口上，所有变体共用同一份精度+资源评测脚本，使后续指标具有严格横向可比性。</w:t>
      </w:r>
    </w:p>
    <w:p>
      <w:pPr>
        <w:ind w:firstLine="482"/>
        <w:jc w:val="both"/>
        <w:spacing w:line="440" w:lineRule="exact"/>
      </w:pPr>
      <w:r>
        <w:rPr>
          <w:rFonts w:eastAsia="宋体" w:ascii="Times New Roman" w:hAnsi="Times New Roman"/>
          <w:b w:val="0"/>
          <w:color w:val="CC9900"/>
          <w:sz w:val="24"/>
        </w:rPr>
        <w:t>两条主线工作的代码落点与整体架构关系如图1-1所示，图中用颜色区分了KnowDDI原有主干与本文新增的GSL开关分支及拓扑/参数双维压缩入口，改动均集中在GSL前后的两类入口，主干编码与分类器结构保留原版。</w:t>
      </w:r>
    </w:p>
    <w:p>
      <w:pPr>
        <w:ind w:firstLine="0"/>
        <w:jc w:val="center"/>
      </w:pPr>
      <w:r>
        <w:rPr>
          <w:rFonts w:eastAsia="宋体" w:ascii="Times New Roman" w:hAnsi="Times New Roman"/>
          <w:b/>
          <w:color w:val="1F49D8"/>
          <w:sz w:val="24"/>
        </w:rPr>
        <w:t>【待插图：图1-1 本文两条主线工作的整体技术路线图（建议绘制 KnowDDI 主干 + GSL 开关分支 + 拓扑/参数双维压缩入口的合并示意）】</w:t>
      </w:r>
    </w:p>
    <w:p>
      <w:r>
        <w:br w:type="page"/>
      </w:r>
    </w:p>
    <w:p>
      <w:pPr>
        <w:spacing w:before="240" w:after="240"/>
        <w:ind w:firstLine="0"/>
        <w:jc w:val="center"/>
      </w:pPr>
      <w:r>
        <w:rPr>
          <w:rFonts w:eastAsia="黑体" w:ascii="Arial" w:hAnsi="Arial"/>
          <w:b/>
          <w:color w:val="000000"/>
          <w:sz w:val="32"/>
        </w:rPr>
        <w:t>第二章  相关理论与技术基础</w:t>
      </w:r>
    </w:p>
    <w:p>
      <w:pPr>
        <w:spacing w:before="120" w:after="120"/>
        <w:ind w:firstLine="0"/>
        <w:jc w:val="left"/>
      </w:pPr>
      <w:r>
        <w:rPr>
          <w:rFonts w:eastAsia="黑体" w:ascii="Arial" w:hAnsi="Arial"/>
          <w:b/>
          <w:color w:val="000000"/>
          <w:sz w:val="28"/>
        </w:rPr>
        <w:t>2.1 知识图谱与生物医学知识图谱</w:t>
      </w:r>
    </w:p>
    <w:p>
      <w:pPr>
        <w:spacing w:before="120" w:after="120"/>
        <w:ind w:firstLine="0"/>
        <w:jc w:val="left"/>
      </w:pPr>
      <w:r>
        <w:rPr>
          <w:rFonts w:eastAsia="黑体" w:ascii="Arial" w:hAnsi="Arial"/>
          <w:b/>
          <w:color w:val="000000"/>
          <w:sz w:val="28"/>
        </w:rPr>
        <w:t>2.1.1 知识图谱基本概念</w:t>
      </w:r>
    </w:p>
    <w:p>
      <w:pPr>
        <w:ind w:firstLine="482"/>
        <w:jc w:val="both"/>
        <w:spacing w:line="440" w:lineRule="exact"/>
      </w:pPr>
      <w:r>
        <w:rPr>
          <w:rFonts w:eastAsia="宋体" w:ascii="Times New Roman" w:hAnsi="Times New Roman"/>
          <w:b w:val="0"/>
          <w:color w:val="000000"/>
          <w:sz w:val="24"/>
        </w:rPr>
        <w:t>知识图谱（Knowledge Graph, KG）是一种以图结构形式组织和表示实体及其关系的知识库。形式化地，知识图谱可以定义为三元组集合 G = {(h, r, t) | h, t ∈ E, r ∈ R}，其中 E 为实体集合，R 为关系类型集合，(h, r, t) 表示头实体 h 与尾实体 t 之间存在关系 r。知识图谱通过结构化方式捕捉了大量领域知识，能够支持语义搜索、问答、推理等多种下游任务。</w:t>
      </w:r>
    </w:p>
    <w:p>
      <w:pPr>
        <w:ind w:firstLine="482"/>
        <w:jc w:val="both"/>
        <w:spacing w:line="440" w:lineRule="exact"/>
      </w:pPr>
      <w:r>
        <w:rPr>
          <w:rFonts w:eastAsia="宋体" w:ascii="Times New Roman" w:hAnsi="Times New Roman"/>
          <w:b w:val="0"/>
          <w:color w:val="000000"/>
          <w:sz w:val="24"/>
        </w:rPr>
        <w:t>自Google于2012年提出"知识图谱"概念以来，业界相继构建了DBpedia、Freebase、Wikidata等大规模通用知识图谱。在生物医学领域，知识图谱技术被用于系统整合基因、蛋白质、药物、疾病等异构生物医学数据，构建了Hetionet、PharmKG、DRKG等面向药学和临床的专用知识图谱。</w:t>
      </w:r>
    </w:p>
    <w:p>
      <w:pPr>
        <w:spacing w:before="120" w:after="120"/>
        <w:ind w:firstLine="0"/>
        <w:jc w:val="left"/>
      </w:pPr>
      <w:r>
        <w:rPr>
          <w:rFonts w:eastAsia="黑体" w:ascii="Arial" w:hAnsi="Arial"/>
          <w:b/>
          <w:color w:val="000000"/>
          <w:sz w:val="28"/>
        </w:rPr>
        <w:t>2.1.2 生物医学知识图谱</w:t>
      </w:r>
    </w:p>
    <w:p>
      <w:pPr>
        <w:ind w:firstLine="482"/>
        <w:jc w:val="both"/>
        <w:spacing w:line="440" w:lineRule="exact"/>
      </w:pPr>
      <w:r>
        <w:rPr>
          <w:rFonts w:eastAsia="宋体" w:ascii="Times New Roman" w:hAnsi="Times New Roman"/>
          <w:b w:val="0"/>
          <w:color w:val="000000"/>
          <w:sz w:val="24"/>
        </w:rPr>
        <w:t>本文主要使用Hetionet作为外部背景知识图谱（BKG）。Hetionet</w:t>
      </w:r>
      <w:r>
        <w:rPr>
          <w:rFonts w:eastAsia="宋体" w:ascii="Times New Roman" w:hAnsi="Times New Roman"/>
          <w:b w:val="0"/>
          <w:color w:val="FF0000"/>
          <w:sz w:val="24"/>
        </w:rPr>
        <w:t>[14]</w:t>
      </w:r>
      <w:r>
        <w:rPr>
          <w:rFonts w:eastAsia="宋体" w:ascii="Times New Roman" w:hAnsi="Times New Roman"/>
          <w:b w:val="0"/>
          <w:color w:val="000000"/>
          <w:sz w:val="24"/>
        </w:rPr>
        <w:t>是一个包含29种节点类型（如基因、疾病、化合物等）和多种关系类型的异构生物医学知识图谱，整合了来自29个公开数据库的生物医学信息。具体而言，Hetionet涵盖了药物-靶点（Compound-Gene）、基因-疾病（Gene-Disease）、药物-疾病（Compound-Disease）等多种类型的生物医学关联，为DDI预测提供了丰富的先验背景知识。</w:t>
      </w:r>
    </w:p>
    <w:p>
      <w:pPr>
        <w:ind w:firstLine="482"/>
        <w:jc w:val="both"/>
        <w:spacing w:line="440" w:lineRule="exact"/>
      </w:pPr>
      <w:r>
        <w:rPr>
          <w:rFonts w:eastAsia="宋体" w:ascii="Times New Roman" w:hAnsi="Times New Roman"/>
          <w:b w:val="0"/>
          <w:color w:val="000000"/>
          <w:sz w:val="24"/>
        </w:rPr>
        <w:t>在本研究中，Hetionet作为背景知识图谱（BKG）为目标DDI药物对的子图提取提供拓扑背景，通过将药物的一阶和二阶邻居信息纳入局部子图，使模型能够利用药物的靶点关联、通路关联等生物医学先验知识，有效补偿DDI标注样本的稀缺性。</w:t>
      </w:r>
    </w:p>
    <w:p>
      <w:pPr>
        <w:spacing w:before="120" w:after="120"/>
        <w:ind w:firstLine="0"/>
        <w:jc w:val="left"/>
      </w:pPr>
      <w:r>
        <w:rPr>
          <w:rFonts w:eastAsia="黑体" w:ascii="Arial" w:hAnsi="Arial"/>
          <w:b/>
          <w:color w:val="000000"/>
          <w:sz w:val="28"/>
        </w:rPr>
        <w:t>2.1.3 知识图谱表示学习</w:t>
      </w:r>
    </w:p>
    <w:p>
      <w:pPr>
        <w:ind w:firstLine="482"/>
        <w:jc w:val="both"/>
        <w:spacing w:line="440" w:lineRule="exact"/>
      </w:pPr>
      <w:r>
        <w:rPr>
          <w:rFonts w:eastAsia="宋体" w:ascii="Times New Roman" w:hAnsi="Times New Roman"/>
          <w:b w:val="0"/>
          <w:color w:val="808080"/>
          <w:sz w:val="24"/>
        </w:rPr>
        <w:t>知识图谱表示学习（Knowledge Graph Embedding, KGE）旨在将知识图谱中的实体和关系映射到低维连续向量空间，使实体和关系的语义信息能够以向量形式参与下游的计算与推理。TransE</w:t>
      </w:r>
      <w:r>
        <w:rPr>
          <w:rFonts w:eastAsia="宋体" w:ascii="Times New Roman" w:hAnsi="Times New Roman"/>
          <w:b w:val="0"/>
          <w:color w:val="FF0000"/>
          <w:sz w:val="24"/>
        </w:rPr>
        <w:t>[15]</w:t>
      </w:r>
      <w:r>
        <w:rPr>
          <w:rFonts w:eastAsia="宋体" w:ascii="Times New Roman" w:hAnsi="Times New Roman"/>
          <w:b w:val="0"/>
          <w:color w:val="808080"/>
          <w:sz w:val="24"/>
        </w:rPr>
        <w:t>是最具代表性的平移模型，其核心假设为：若三元组 (h, r, t) 成立，则头实体向量与关系向量之和应接近尾实体向量，即 h + r ≈ t。在此基础上，RotatE将关系建模为复数空间中的旋转操作，能够有效捕捉对称、反对称和复合关系等复杂关系模式。ComplEx则通过引入复数值嵌入，进一步提升了模型对不对称关系的建模能力。</w:t>
      </w:r>
    </w:p>
    <w:p>
      <w:pPr>
        <w:ind w:firstLine="482"/>
        <w:jc w:val="both"/>
        <w:spacing w:line="440" w:lineRule="exact"/>
      </w:pPr>
      <w:r>
        <w:rPr>
          <w:rFonts w:eastAsia="宋体" w:ascii="Times New Roman" w:hAnsi="Times New Roman"/>
          <w:b w:val="0"/>
          <w:color w:val="808080"/>
          <w:sz w:val="24"/>
        </w:rPr>
        <w:t>在生物医学知识图谱场景中，KGE方法被广泛用于药物、基因、蛋白质等实体的预训练表示学习。预训练得到的实体嵌入可以作为图神经网络的初始节点特征输入，为后续的GNN消息传递提供高质量的语义初始化，从而在标注稀疏条件下提升模型性能。本文所使用的KnowDDI模型通过GraphSAGE在全局BKG上生成每个节点的初始嵌入，其本质上也是一种基于图结构的实体表示学习方式，与上述KGE方法在目标上一致，但充分利用了图神经网络对局部结构的感知能力。</w:t>
      </w:r>
    </w:p>
    <w:p>
      <w:pPr>
        <w:spacing w:before="120" w:after="120"/>
        <w:ind w:firstLine="0"/>
        <w:jc w:val="left"/>
      </w:pPr>
      <w:r>
        <w:rPr>
          <w:rFonts w:eastAsia="黑体" w:ascii="Arial" w:hAnsi="Arial"/>
          <w:b/>
          <w:color w:val="000000"/>
          <w:sz w:val="28"/>
        </w:rPr>
        <w:t>2.2 图神经网络基础</w:t>
      </w:r>
    </w:p>
    <w:p>
      <w:pPr>
        <w:ind w:firstLine="482"/>
        <w:jc w:val="both"/>
        <w:spacing w:line="440" w:lineRule="exact"/>
      </w:pPr>
      <w:r>
        <w:rPr>
          <w:rFonts w:eastAsia="宋体" w:ascii="Times New Roman" w:hAnsi="Times New Roman"/>
          <w:b w:val="0"/>
          <w:color w:val="000000"/>
          <w:sz w:val="24"/>
        </w:rPr>
        <w:t>图神经网络（Graph Neural Network, GNN）是一类直接在图结构数据上进行表示学习的深度学习模型，其核心思想是通过迭代聚合邻居节点的信息来更新节点表示，实现结构感知的特征提取。</w:t>
      </w:r>
    </w:p>
    <w:p>
      <w:pPr>
        <w:spacing w:before="120" w:after="120"/>
        <w:ind w:firstLine="0"/>
        <w:jc w:val="left"/>
      </w:pPr>
      <w:r>
        <w:rPr>
          <w:rFonts w:eastAsia="黑体" w:ascii="Arial" w:hAnsi="Arial"/>
          <w:b/>
          <w:color w:val="000000"/>
          <w:sz w:val="28"/>
        </w:rPr>
        <w:t>2.2.1 图卷积网络（GCN）</w:t>
      </w:r>
    </w:p>
    <w:p>
      <w:pPr>
        <w:ind w:firstLine="482"/>
        <w:jc w:val="both"/>
        <w:spacing w:line="440" w:lineRule="exact"/>
      </w:pPr>
      <w:r>
        <w:rPr>
          <w:rFonts w:eastAsia="宋体" w:ascii="Times New Roman" w:hAnsi="Times New Roman"/>
          <w:b w:val="0"/>
          <w:color w:val="000000"/>
          <w:sz w:val="24"/>
        </w:rPr>
        <w:t>图卷积网络（Graph Convolutional Network, GCN）由Kipf和Welling</w:t>
      </w:r>
      <w:r>
        <w:rPr>
          <w:rFonts w:eastAsia="宋体" w:ascii="Times New Roman" w:hAnsi="Times New Roman"/>
          <w:b w:val="0"/>
          <w:color w:val="FF0000"/>
          <w:sz w:val="24"/>
        </w:rPr>
        <w:t>[8]</w:t>
      </w:r>
      <w:r>
        <w:rPr>
          <w:rFonts w:eastAsia="宋体" w:ascii="Times New Roman" w:hAnsi="Times New Roman"/>
          <w:b w:val="0"/>
          <w:color w:val="000000"/>
          <w:sz w:val="24"/>
        </w:rPr>
        <w:t>提出，通过谱域卷积操作定义了图上的卷积运算。GCN的层间传播规则可以表示为：</w:t>
      </w:r>
    </w:p>
    <w:p>
      <w:pPr>
        <w:ind w:firstLine="482"/>
        <w:jc w:val="both"/>
        <w:spacing w:line="440" w:lineRule="exact"/>
      </w:pPr>
      <w:r>
        <w:rPr>
          <w:rFonts w:eastAsia="宋体" w:ascii="Times New Roman" w:hAnsi="Times New Roman"/>
          <w:b w:val="0"/>
          <w:color w:val="000000"/>
          <w:sz w:val="24"/>
        </w:rPr>
        <w:t>H^(l+1) = σ(D̃^(-1/2) Ã D̃^(-1/2) H^(l) W^(l))</w:t>
      </w:r>
    </w:p>
    <w:p>
      <w:pPr>
        <w:ind w:firstLine="482"/>
        <w:jc w:val="both"/>
        <w:spacing w:line="440" w:lineRule="exact"/>
      </w:pPr>
      <w:r>
        <w:rPr>
          <w:rFonts w:eastAsia="宋体" w:ascii="Times New Roman" w:hAnsi="Times New Roman"/>
          <w:b w:val="0"/>
          <w:color w:val="000000"/>
          <w:sz w:val="24"/>
        </w:rPr>
        <w:t>其中 Ã = A + I 为添加自环的邻接矩阵，D̃ 为对应的度矩阵，H^(l) 为第 l 层的节点特征矩阵，W^(l) 为可学习的权重矩阵，σ 为激活函数。</w:t>
      </w:r>
    </w:p>
    <w:p>
      <w:pPr>
        <w:spacing w:before="120" w:after="120"/>
        <w:ind w:firstLine="0"/>
        <w:jc w:val="left"/>
      </w:pPr>
      <w:r>
        <w:rPr>
          <w:rFonts w:eastAsia="黑体" w:ascii="Arial" w:hAnsi="Arial"/>
          <w:b/>
          <w:color w:val="000000"/>
          <w:sz w:val="28"/>
        </w:rPr>
        <w:t>2.2.2 GraphSAGE</w:t>
      </w:r>
    </w:p>
    <w:p>
      <w:pPr>
        <w:ind w:firstLine="482"/>
        <w:jc w:val="both"/>
        <w:spacing w:line="440" w:lineRule="exact"/>
      </w:pPr>
      <w:r>
        <w:rPr>
          <w:rFonts w:eastAsia="宋体" w:ascii="Times New Roman" w:hAnsi="Times New Roman"/>
          <w:b w:val="0"/>
          <w:color w:val="000000"/>
          <w:sz w:val="24"/>
        </w:rPr>
        <w:t>GraphSAGE（Graph SAmple and aggrEgate）由Hamilton等人</w:t>
      </w:r>
      <w:r>
        <w:rPr>
          <w:rFonts w:eastAsia="宋体" w:ascii="Times New Roman" w:hAnsi="Times New Roman"/>
          <w:b w:val="0"/>
          <w:color w:val="FF0000"/>
          <w:sz w:val="24"/>
        </w:rPr>
        <w:t>[9]</w:t>
      </w:r>
      <w:r>
        <w:rPr>
          <w:rFonts w:eastAsia="宋体" w:ascii="Times New Roman" w:hAnsi="Times New Roman"/>
          <w:b w:val="0"/>
          <w:color w:val="000000"/>
          <w:sz w:val="24"/>
        </w:rPr>
        <w:t>提出，通过对邻域采样后聚合来生成节点嵌入，解决了GCN在归纳学习场景下的限制。GraphSAGE的聚合操作可以表示为：</w:t>
      </w:r>
    </w:p>
    <w:p>
      <w:pPr>
        <w:ind w:firstLine="482"/>
        <w:jc w:val="both"/>
        <w:spacing w:line="440" w:lineRule="exact"/>
      </w:pPr>
      <w:r>
        <w:rPr>
          <w:rFonts w:eastAsia="宋体" w:ascii="Times New Roman" w:hAnsi="Times New Roman"/>
          <w:b w:val="0"/>
          <w:color w:val="000000"/>
          <w:sz w:val="24"/>
        </w:rPr>
        <w:t>h_v^(k) = σ(W^k · CONCAT(h_v^(k-1), AGG^k({h_u^(k-1), ∀u ∈ N(v)})))</w:t>
      </w:r>
    </w:p>
    <w:p>
      <w:pPr>
        <w:ind w:firstLine="482"/>
        <w:jc w:val="both"/>
        <w:spacing w:line="440" w:lineRule="exact"/>
      </w:pPr>
      <w:r>
        <w:rPr>
          <w:rFonts w:eastAsia="宋体" w:ascii="Times New Roman" w:hAnsi="Times New Roman"/>
          <w:b w:val="0"/>
          <w:color w:val="000000"/>
          <w:sz w:val="24"/>
        </w:rPr>
        <w:t>其中 N(v) 为节点 v 的采样邻居集合，AGG^k 为第 k 层的聚合函数（可为均值、最大值或LSTM等），W^k 为可学习参数。</w:t>
      </w:r>
    </w:p>
    <w:p>
      <w:pPr>
        <w:ind w:firstLine="482"/>
        <w:jc w:val="both"/>
        <w:spacing w:line="440" w:lineRule="exact"/>
      </w:pPr>
      <w:r>
        <w:rPr>
          <w:rFonts w:eastAsia="宋体" w:ascii="Times New Roman" w:hAnsi="Times New Roman"/>
          <w:b w:val="0"/>
          <w:color w:val="000000"/>
          <w:sz w:val="24"/>
        </w:rPr>
        <w:t>GraphSAGE能够高效处理大规模图，且支持对未见节点的归纳预测，非常适合本文的子图级表示学习场景。在KnowDDI模型</w:t>
      </w:r>
      <w:r>
        <w:rPr>
          <w:rFonts w:eastAsia="宋体" w:ascii="Times New Roman" w:hAnsi="Times New Roman"/>
          <w:b w:val="0"/>
          <w:color w:val="FF0000"/>
          <w:sz w:val="24"/>
        </w:rPr>
        <w:t>[7]</w:t>
      </w:r>
      <w:r>
        <w:rPr>
          <w:rFonts w:eastAsia="宋体" w:ascii="Times New Roman" w:hAnsi="Times New Roman"/>
          <w:b w:val="0"/>
          <w:color w:val="000000"/>
          <w:sz w:val="24"/>
        </w:rPr>
        <w:t>中，GraphSAGE被用于在全局知识图谱上生成每个节点的初始嵌入表示。</w:t>
      </w:r>
    </w:p>
    <w:p>
      <w:pPr>
        <w:spacing w:before="120" w:after="120"/>
        <w:ind w:firstLine="0"/>
        <w:jc w:val="left"/>
      </w:pPr>
      <w:r>
        <w:rPr>
          <w:rFonts w:eastAsia="黑体" w:ascii="Arial" w:hAnsi="Arial"/>
          <w:b/>
          <w:color w:val="000000"/>
          <w:sz w:val="28"/>
        </w:rPr>
        <w:t>2.2.3 图注意力网络（GAT）</w:t>
      </w:r>
    </w:p>
    <w:p>
      <w:pPr>
        <w:ind w:firstLine="482"/>
        <w:jc w:val="both"/>
        <w:spacing w:line="440" w:lineRule="exact"/>
      </w:pPr>
      <w:r>
        <w:rPr>
          <w:rFonts w:eastAsia="宋体" w:ascii="Times New Roman" w:hAnsi="Times New Roman"/>
          <w:b w:val="0"/>
          <w:color w:val="000000"/>
          <w:sz w:val="24"/>
        </w:rPr>
        <w:t>图注意力网络（Graph Attention Network, GAT）由Veličković等人</w:t>
      </w:r>
      <w:r>
        <w:rPr>
          <w:rFonts w:eastAsia="宋体" w:ascii="Times New Roman" w:hAnsi="Times New Roman"/>
          <w:b w:val="0"/>
          <w:color w:val="FF0000"/>
          <w:sz w:val="24"/>
        </w:rPr>
        <w:t>[10]</w:t>
      </w:r>
      <w:r>
        <w:rPr>
          <w:rFonts w:eastAsia="宋体" w:ascii="Times New Roman" w:hAnsi="Times New Roman"/>
          <w:b w:val="0"/>
          <w:color w:val="000000"/>
          <w:sz w:val="24"/>
        </w:rPr>
        <w:t>提出，通过引入注意力机制为不同邻居分配不同的聚合权重，增强了模型的自适应表达能力。GAT的注意力系数计算如下：</w:t>
      </w:r>
    </w:p>
    <w:p>
      <w:pPr>
        <w:ind w:firstLine="482"/>
        <w:jc w:val="both"/>
        <w:spacing w:line="440" w:lineRule="exact"/>
      </w:pPr>
      <w:r>
        <w:rPr>
          <w:rFonts w:eastAsia="宋体" w:ascii="Times New Roman" w:hAnsi="Times New Roman"/>
          <w:b w:val="0"/>
          <w:color w:val="000000"/>
          <w:sz w:val="24"/>
        </w:rPr>
        <w:t>α_ij = softmax_j(e_ij) = exp(LeakyReLU(a^T [Wh_i || Wh_j])) / Σ_{k∈N_i} exp(LeakyReLU(a^T [Wh_i || Wh_k]))</w:t>
      </w:r>
    </w:p>
    <w:p>
      <w:pPr>
        <w:ind w:firstLine="482"/>
        <w:jc w:val="both"/>
        <w:spacing w:line="440" w:lineRule="exact"/>
      </w:pPr>
      <w:r>
        <w:rPr>
          <w:rFonts w:eastAsia="宋体" w:ascii="Times New Roman" w:hAnsi="Times New Roman"/>
          <w:b w:val="0"/>
          <w:color w:val="000000"/>
          <w:sz w:val="24"/>
        </w:rPr>
        <w:t>其中 a 为注意力向量，W 为权重矩阵，|| 表示向量拼接，α_ij 为节点 i 对邻居 j 的注意力权重。</w:t>
      </w:r>
    </w:p>
    <w:p>
      <w:pPr>
        <w:spacing w:before="120" w:after="120"/>
        <w:ind w:firstLine="0"/>
        <w:jc w:val="left"/>
      </w:pPr>
      <w:r>
        <w:rPr>
          <w:rFonts w:eastAsia="黑体" w:ascii="Arial" w:hAnsi="Arial"/>
          <w:b/>
          <w:color w:val="000000"/>
          <w:sz w:val="28"/>
        </w:rPr>
        <w:t>2.2.4 消息传递神经网络（MPNN）统一框架</w:t>
      </w:r>
    </w:p>
    <w:p>
      <w:pPr>
        <w:ind w:firstLine="482"/>
        <w:jc w:val="both"/>
        <w:spacing w:line="440" w:lineRule="exact"/>
      </w:pPr>
      <w:r>
        <w:rPr>
          <w:rFonts w:eastAsia="宋体" w:ascii="Times New Roman" w:hAnsi="Times New Roman"/>
          <w:b w:val="0"/>
          <w:color w:val="808080"/>
          <w:sz w:val="24"/>
        </w:rPr>
        <w:t>Gilmer等人</w:t>
      </w:r>
      <w:r>
        <w:rPr>
          <w:rFonts w:eastAsia="宋体" w:ascii="Times New Roman" w:hAnsi="Times New Roman"/>
          <w:b w:val="0"/>
          <w:color w:val="FF0000"/>
          <w:sz w:val="24"/>
        </w:rPr>
        <w:t>[11]</w:t>
      </w:r>
      <w:r>
        <w:rPr>
          <w:rFonts w:eastAsia="宋体" w:ascii="Times New Roman" w:hAnsi="Times New Roman"/>
          <w:b w:val="0"/>
          <w:color w:val="808080"/>
          <w:sz w:val="24"/>
        </w:rPr>
        <w:t>提出了消息传递神经网络（Message Passing Neural Network, MPNN）作为图神经网络的统一理论框架，将各类GNN模型的计算过程归纳为消息传递（Message Passing）与聚合（Aggregation）两个阶段。在消息传递阶段，每条边 (v, u) 生成消息 m_vu = M_t(h_v^t, h_u^t, e_vu)，其中 e_vu 为边特征；在聚合阶段，节点 v 汇聚所有邻居发送的消息 h_v^{t+1} = U_t(h_v^t, Σ_{u∈N(v)} m_vu)。上述 GCN、GraphSAGE、GAT 均可在 MPNN 框架下统一描述：GCN 对应度归一化均值聚合，GraphSAGE 对应采样后的 CONCAT 聚合，GAT 则对应注意力加权聚合。</w:t>
      </w:r>
    </w:p>
    <w:p>
      <w:pPr>
        <w:ind w:firstLine="482"/>
        <w:jc w:val="both"/>
        <w:spacing w:line="440" w:lineRule="exact"/>
      </w:pPr>
      <w:r>
        <w:rPr>
          <w:rFonts w:eastAsia="宋体" w:ascii="Times New Roman" w:hAnsi="Times New Roman"/>
          <w:b w:val="0"/>
          <w:color w:val="808080"/>
          <w:sz w:val="24"/>
        </w:rPr>
        <w:t>MPNN框架的意义在于为GNN的设计提供了统一的分析视角，使不同模型之间的比较与迁移更加系统化。在本文使用的KnowDDI模型中，图结构学习（GSL）模块通过学习边权重动态调整消息传递过程中的边贡献，本质上是在MPNN框架下对消息传递阶段进行了自适应的结构优化。</w:t>
      </w:r>
    </w:p>
    <w:p>
      <w:pPr>
        <w:spacing w:before="120" w:after="120"/>
        <w:ind w:firstLine="0"/>
        <w:jc w:val="left"/>
      </w:pPr>
      <w:r>
        <w:rPr>
          <w:rFonts w:eastAsia="黑体" w:ascii="Arial" w:hAnsi="Arial"/>
          <w:b/>
          <w:color w:val="000000"/>
          <w:sz w:val="28"/>
        </w:rPr>
        <w:t>2.3 图结构学习</w:t>
      </w:r>
    </w:p>
    <w:p>
      <w:pPr>
        <w:ind w:firstLine="482"/>
        <w:jc w:val="both"/>
        <w:spacing w:line="440" w:lineRule="exact"/>
      </w:pPr>
      <w:r>
        <w:rPr>
          <w:rFonts w:eastAsia="宋体" w:ascii="Times New Roman" w:hAnsi="Times New Roman"/>
          <w:b w:val="0"/>
          <w:color w:val="000000"/>
          <w:sz w:val="24"/>
        </w:rPr>
        <w:t>图结构学习（Graph Structure Learning, GSL）是一类旨在从数据中自适应推断图结构的方法，能够在原始图存在噪声或不完整的情况下，学习更适合下游任务的图拓扑。</w:t>
      </w:r>
    </w:p>
    <w:p>
      <w:pPr>
        <w:spacing w:before="120" w:after="120"/>
        <w:ind w:firstLine="0"/>
        <w:jc w:val="left"/>
      </w:pPr>
      <w:r>
        <w:rPr>
          <w:rFonts w:eastAsia="黑体" w:ascii="Arial" w:hAnsi="Arial"/>
          <w:b/>
          <w:color w:val="000000"/>
          <w:sz w:val="28"/>
        </w:rPr>
        <w:t>2.3.1 图结构学习的基本框架</w:t>
      </w:r>
    </w:p>
    <w:p>
      <w:pPr>
        <w:ind w:firstLine="482"/>
        <w:jc w:val="both"/>
        <w:spacing w:line="440" w:lineRule="exact"/>
      </w:pPr>
      <w:r>
        <w:rPr>
          <w:rFonts w:eastAsia="宋体" w:ascii="Times New Roman" w:hAnsi="Times New Roman"/>
          <w:b w:val="0"/>
          <w:color w:val="000000"/>
          <w:sz w:val="24"/>
        </w:rPr>
        <w:t>图结构学习方法通常包含两个关键组件：结构估计器和图神经网络。结构估计器负责根据节点特征或其他先验信息估计节点对之间的边存在概率，而图神经网络则在估计的图结构上进行消息传递。典型的图结构学习方法包括基于余弦相似度、基于MLP的边打分、以及基于注意力的边预测等。</w:t>
      </w:r>
    </w:p>
    <w:p>
      <w:pPr>
        <w:spacing w:before="120" w:after="120"/>
        <w:ind w:firstLine="0"/>
        <w:jc w:val="left"/>
      </w:pPr>
      <w:r>
        <w:rPr>
          <w:rFonts w:eastAsia="黑体" w:ascii="Arial" w:hAnsi="Arial"/>
          <w:b/>
          <w:color w:val="000000"/>
          <w:sz w:val="28"/>
        </w:rPr>
        <w:t>2.3.2 去噪与补全机制</w:t>
      </w:r>
    </w:p>
    <w:p>
      <w:pPr>
        <w:ind w:firstLine="482"/>
        <w:jc w:val="both"/>
        <w:spacing w:line="440" w:lineRule="exact"/>
      </w:pPr>
      <w:r>
        <w:rPr>
          <w:rFonts w:eastAsia="宋体" w:ascii="Times New Roman" w:hAnsi="Times New Roman"/>
          <w:b w:val="0"/>
          <w:color w:val="000000"/>
          <w:sz w:val="24"/>
        </w:rPr>
        <w:t>在知识图谱增强的DDI预测场景中，图结构学习面临两类核心挑战：</w:t>
      </w:r>
    </w:p>
    <w:p>
      <w:pPr>
        <w:ind w:firstLine="482"/>
        <w:jc w:val="both"/>
        <w:spacing w:line="440" w:lineRule="exact"/>
      </w:pPr>
      <w:r>
        <w:rPr>
          <w:rFonts w:eastAsia="宋体" w:ascii="Times New Roman" w:hAnsi="Times New Roman"/>
          <w:b w:val="0"/>
          <w:color w:val="000000"/>
          <w:sz w:val="24"/>
        </w:rPr>
        <w:t>（1）图去噪（Graph Denoising）：背景知识图谱中存在的冗余或噪声边可能干扰模型对真实药理关联的学习。图去噪的目标是识别并压低这些低质量边的权重，减少噪声信号对表示学习的干扰。</w:t>
      </w:r>
    </w:p>
    <w:p>
      <w:pPr>
        <w:ind w:firstLine="482"/>
        <w:jc w:val="both"/>
        <w:spacing w:line="440" w:lineRule="exact"/>
      </w:pPr>
      <w:r>
        <w:rPr>
          <w:rFonts w:eastAsia="宋体" w:ascii="Times New Roman" w:hAnsi="Times New Roman"/>
          <w:b w:val="0"/>
          <w:color w:val="000000"/>
          <w:sz w:val="24"/>
        </w:rPr>
        <w:t>（2）图补全（Graph Completion）：由于DDI数据的极度稀疏性，局部子图往往缺失许多潜在的有效连接。图补全的目标是通过学习潜在的高置信度边，为模型补充缺失的结构信息，提升对隐含药理关联的建模能力。</w:t>
      </w:r>
    </w:p>
    <w:p>
      <w:pPr>
        <w:ind w:firstLine="482"/>
        <w:jc w:val="both"/>
        <w:spacing w:line="440" w:lineRule="exact"/>
      </w:pPr>
      <w:r>
        <w:rPr>
          <w:rFonts w:eastAsia="宋体" w:ascii="Times New Roman" w:hAnsi="Times New Roman"/>
          <w:b w:val="0"/>
          <w:color w:val="000000"/>
          <w:sz w:val="24"/>
        </w:rPr>
        <w:t>KnowDDI模型</w:t>
      </w:r>
      <w:r>
        <w:rPr>
          <w:rFonts w:eastAsia="宋体" w:ascii="Times New Roman" w:hAnsi="Times New Roman"/>
          <w:b w:val="0"/>
          <w:color w:val="FF0000"/>
          <w:sz w:val="24"/>
        </w:rPr>
        <w:t>[7]</w:t>
      </w:r>
      <w:r>
        <w:rPr>
          <w:rFonts w:eastAsia="宋体" w:ascii="Times New Roman" w:hAnsi="Times New Roman"/>
          <w:b w:val="0"/>
          <w:color w:val="000000"/>
          <w:sz w:val="24"/>
        </w:rPr>
        <w:t>将这两种机制融合在同一图结构学习模块中，通过为候选完全图上的每条边学习一个综合权重，同时实现去噪与补全。本文的消融实验将对这两种机制进行解耦，分别评估其独立贡献。</w:t>
      </w:r>
    </w:p>
    <w:p>
      <w:pPr>
        <w:spacing w:before="120" w:after="120"/>
        <w:ind w:firstLine="0"/>
        <w:jc w:val="left"/>
      </w:pPr>
      <w:r>
        <w:rPr>
          <w:rFonts w:eastAsia="黑体" w:ascii="Arial" w:hAnsi="Arial"/>
          <w:b/>
          <w:color w:val="000000"/>
          <w:sz w:val="28"/>
        </w:rPr>
        <w:t>2.3.3 现有图结构学习方法综述</w:t>
      </w:r>
    </w:p>
    <w:p>
      <w:pPr>
        <w:ind w:firstLine="482"/>
        <w:jc w:val="both"/>
        <w:spacing w:line="440" w:lineRule="exact"/>
      </w:pPr>
      <w:r>
        <w:rPr>
          <w:rFonts w:eastAsia="宋体" w:ascii="Times New Roman" w:hAnsi="Times New Roman"/>
          <w:b w:val="0"/>
          <w:color w:val="808080"/>
          <w:sz w:val="24"/>
        </w:rPr>
        <w:t>图结构学习领域已涌现出多种代表性方法。LDS（Learning Discrete Structures）</w:t>
      </w:r>
      <w:r>
        <w:rPr>
          <w:rFonts w:eastAsia="宋体" w:ascii="Times New Roman" w:hAnsi="Times New Roman"/>
          <w:b w:val="0"/>
          <w:color w:val="FF0000"/>
          <w:sz w:val="24"/>
        </w:rPr>
        <w:t>[16]</w:t>
      </w:r>
      <w:r>
        <w:rPr>
          <w:rFonts w:eastAsia="宋体" w:ascii="Times New Roman" w:hAnsi="Times New Roman"/>
          <w:b w:val="0"/>
          <w:color w:val="808080"/>
          <w:sz w:val="24"/>
        </w:rPr>
        <w:t>通过随机图结构的期望损失最小化来联合优化图结构与GNN参数，适用于节点分类任务。GLNN（Graph Learning Neural Network）</w:t>
      </w:r>
      <w:r>
        <w:rPr>
          <w:rFonts w:eastAsia="宋体" w:ascii="Times New Roman" w:hAnsi="Times New Roman"/>
          <w:b w:val="0"/>
          <w:color w:val="FF0000"/>
          <w:sz w:val="24"/>
        </w:rPr>
        <w:t>[17]</w:t>
      </w:r>
      <w:r>
        <w:rPr>
          <w:rFonts w:eastAsia="宋体" w:ascii="Times New Roman" w:hAnsi="Times New Roman"/>
          <w:b w:val="0"/>
          <w:color w:val="808080"/>
          <w:sz w:val="24"/>
        </w:rPr>
        <w:t>在节点特征相似度的基础上引入稀疏化约束，通过 k 近邻图估计来构建稀疏但信息密集的图结构。IDGL（Iterative Deep Graph Learning）</w:t>
      </w:r>
      <w:r>
        <w:rPr>
          <w:rFonts w:eastAsia="宋体" w:ascii="Times New Roman" w:hAnsi="Times New Roman"/>
          <w:b w:val="0"/>
          <w:color w:val="FF0000"/>
          <w:sz w:val="24"/>
        </w:rPr>
        <w:t>[18]</w:t>
      </w:r>
      <w:r>
        <w:rPr>
          <w:rFonts w:eastAsia="宋体" w:ascii="Times New Roman" w:hAnsi="Times New Roman"/>
          <w:b w:val="0"/>
          <w:color w:val="808080"/>
          <w:sz w:val="24"/>
        </w:rPr>
        <w:t>则采用迭代优化策略，交替更新图结构和GNN参数，在每轮迭代中利用节点嵌入的余弦相似度精化邻接矩阵。上述方法均面向同构图设计，而本文处理的背景知识图谱为包含多种节点和关系类型的异构图，因此需要在边打分时引入关系类型嵌入，以区分不同语义下的边权重。</w:t>
      </w:r>
    </w:p>
    <w:p>
      <w:pPr>
        <w:ind w:firstLine="482"/>
        <w:jc w:val="both"/>
        <w:spacing w:line="440" w:lineRule="exact"/>
      </w:pPr>
      <w:r>
        <w:rPr>
          <w:rFonts w:eastAsia="宋体" w:ascii="Times New Roman" w:hAnsi="Times New Roman"/>
          <w:b w:val="0"/>
          <w:color w:val="808080"/>
          <w:sz w:val="24"/>
        </w:rPr>
        <w:t>在异构图场景下，现有研究多采用关系感知的边权重计算函数。KnowDDI</w:t>
      </w:r>
      <w:r>
        <w:rPr>
          <w:rFonts w:eastAsia="宋体" w:ascii="Times New Roman" w:hAnsi="Times New Roman"/>
          <w:b w:val="0"/>
          <w:color w:val="FF0000"/>
          <w:sz w:val="24"/>
        </w:rPr>
        <w:t>[7]</w:t>
      </w:r>
      <w:r>
        <w:rPr>
          <w:rFonts w:eastAsia="宋体" w:ascii="Times New Roman" w:hAnsi="Times New Roman"/>
          <w:b w:val="0"/>
          <w:color w:val="808080"/>
          <w:sz w:val="24"/>
        </w:rPr>
        <w:t>将节点对特征与关系嵌入拼接后输入MLP来估计边权重，本文的EdgeGateNetwork在此基础上将MLP输出进一步分解为去噪门控头（denoise_head）与补全门控头（completion_head），实现了两类机制的显式分离，为后续消融实验提供了可控的解耦接口。</w:t>
      </w:r>
    </w:p>
    <w:p>
      <w:pPr>
        <w:spacing w:before="120" w:after="120"/>
        <w:ind w:firstLine="0"/>
        <w:jc w:val="left"/>
      </w:pPr>
      <w:r>
        <w:rPr>
          <w:rFonts w:eastAsia="黑体" w:ascii="Arial" w:hAnsi="Arial"/>
          <w:b/>
          <w:color w:val="000000"/>
          <w:sz w:val="28"/>
        </w:rPr>
        <w:t>2.4 小样本学习背景下的DDI预测</w:t>
      </w:r>
    </w:p>
    <w:p>
      <w:pPr>
        <w:ind w:firstLine="482"/>
        <w:jc w:val="both"/>
        <w:spacing w:line="440" w:lineRule="exact"/>
      </w:pPr>
      <w:r>
        <w:rPr>
          <w:rFonts w:eastAsia="宋体" w:ascii="Times New Roman" w:hAnsi="Times New Roman"/>
          <w:b w:val="0"/>
          <w:color w:val="000000"/>
          <w:sz w:val="24"/>
        </w:rPr>
        <w:t>小样本学习（Few-Shot Learning）是指在训练样本极度稀缺的情况下，仍能有效泛化到新类别或新样本的机器学习范式。在DDI预测任务中，小样本问题表现尤为突出。</w:t>
      </w:r>
    </w:p>
    <w:p>
      <w:pPr>
        <w:ind w:firstLine="482"/>
        <w:jc w:val="both"/>
        <w:spacing w:line="440" w:lineRule="exact"/>
      </w:pPr>
      <w:r>
        <w:rPr>
          <w:rFonts w:eastAsia="宋体" w:ascii="Times New Roman" w:hAnsi="Times New Roman"/>
          <w:b w:val="0"/>
          <w:color w:val="000000"/>
          <w:sz w:val="24"/>
        </w:rPr>
        <w:t>以DrugBank数据集为例，其中包含1710种药物和86类DDI关系，但已知的DDI三元组数量仅占潜在DDI总数（约1710×1710×86/2）的极小比例（不足1%）。这种极度稀疏的标注特性使得传统的深度学习模型面临严重的过拟合风险。</w:t>
      </w:r>
    </w:p>
    <w:p>
      <w:pPr>
        <w:ind w:firstLine="482"/>
        <w:jc w:val="both"/>
        <w:spacing w:line="440" w:lineRule="exact"/>
      </w:pPr>
      <w:r>
        <w:rPr>
          <w:rFonts w:eastAsia="宋体" w:ascii="Times New Roman" w:hAnsi="Times New Roman"/>
          <w:b w:val="0"/>
          <w:color w:val="000000"/>
          <w:sz w:val="24"/>
        </w:rPr>
        <w:t>为应对这一挑战，现有方法主要从以下两个方向入手：</w:t>
      </w:r>
    </w:p>
    <w:p>
      <w:pPr>
        <w:ind w:firstLine="482"/>
        <w:jc w:val="both"/>
        <w:spacing w:line="440" w:lineRule="exact"/>
      </w:pPr>
      <w:r>
        <w:rPr>
          <w:rFonts w:eastAsia="宋体" w:ascii="Times New Roman" w:hAnsi="Times New Roman"/>
          <w:b w:val="0"/>
          <w:color w:val="000000"/>
          <w:sz w:val="24"/>
        </w:rPr>
        <w:t>（1）知识增强：引入外部生物医学知识图谱作为先验知识来源，通过药物的靶点关联、化学结构关联、疾病适应症关联等多维度信息补偿标注样本的不足。</w:t>
      </w:r>
    </w:p>
    <w:p>
      <w:pPr>
        <w:ind w:firstLine="482"/>
        <w:jc w:val="both"/>
        <w:spacing w:line="440" w:lineRule="exact"/>
      </w:pPr>
      <w:r>
        <w:rPr>
          <w:rFonts w:eastAsia="宋体" w:ascii="Times New Roman" w:hAnsi="Times New Roman"/>
          <w:b w:val="0"/>
          <w:color w:val="000000"/>
          <w:sz w:val="24"/>
        </w:rPr>
        <w:t>（2）子图学习：对于每个目标DDI药物对，在背景知识图谱上提取以两个药物节点为中心的局部子图，将DDI预测转化为局部图分类问题。这种策略有效降低了全局图学习的计算复杂度，同时保留了局部拓扑结构信息。</w:t>
      </w:r>
    </w:p>
    <w:p>
      <w:pPr>
        <w:ind w:firstLine="482"/>
        <w:jc w:val="both"/>
        <w:spacing w:line="440" w:lineRule="exact"/>
      </w:pPr>
      <w:r>
        <w:rPr>
          <w:rFonts w:eastAsia="宋体" w:ascii="Times New Roman" w:hAnsi="Times New Roman"/>
          <w:b w:val="0"/>
          <w:color w:val="000000"/>
          <w:sz w:val="24"/>
        </w:rPr>
        <w:t>本文研究的KnowDDI模型即采用了知识增强与子图学习相结合的策略，通过图结构学习进一步提升局部子图中的有效信息密度。</w:t>
      </w:r>
    </w:p>
    <w:p>
      <w:pPr>
        <w:spacing w:before="120" w:after="120"/>
        <w:ind w:firstLine="0"/>
        <w:jc w:val="left"/>
      </w:pPr>
      <w:r>
        <w:rPr>
          <w:rFonts w:eastAsia="黑体" w:ascii="Arial" w:hAnsi="Arial"/>
          <w:b/>
          <w:color w:val="000000"/>
          <w:sz w:val="28"/>
        </w:rPr>
        <w:t>2.4.1 元学习与原型网络</w:t>
      </w:r>
    </w:p>
    <w:p>
      <w:pPr>
        <w:ind w:firstLine="482"/>
        <w:jc w:val="both"/>
        <w:spacing w:line="440" w:lineRule="exact"/>
      </w:pPr>
      <w:r>
        <w:rPr>
          <w:rFonts w:eastAsia="宋体" w:ascii="Times New Roman" w:hAnsi="Times New Roman"/>
          <w:b w:val="0"/>
          <w:color w:val="808080"/>
          <w:sz w:val="24"/>
        </w:rPr>
        <w:t>元学习（Meta-Learning）是小样本学习的重要范式之一，其核心思想是"学习如何学习"（Learning to Learn），即在大量辅助任务上训练模型，使其具备快速适应新任务的能力。MAML（Model-Agnostic Meta-Learning）</w:t>
      </w:r>
      <w:r>
        <w:rPr>
          <w:rFonts w:eastAsia="宋体" w:ascii="Times New Roman" w:hAnsi="Times New Roman"/>
          <w:b w:val="0"/>
          <w:color w:val="FF0000"/>
          <w:sz w:val="24"/>
        </w:rPr>
        <w:t>[19]</w:t>
      </w:r>
      <w:r>
        <w:rPr>
          <w:rFonts w:eastAsia="宋体" w:ascii="Times New Roman" w:hAnsi="Times New Roman"/>
          <w:b w:val="0"/>
          <w:color w:val="808080"/>
          <w:sz w:val="24"/>
        </w:rPr>
        <w:t>通过双层优化找到一组对所有任务都良好的初始化参数，使模型仅需少量梯度步骤即可适应新任务。原型网络（Prototypical Networks）</w:t>
      </w:r>
      <w:r>
        <w:rPr>
          <w:rFonts w:eastAsia="宋体" w:ascii="Times New Roman" w:hAnsi="Times New Roman"/>
          <w:b w:val="0"/>
          <w:color w:val="FF0000"/>
          <w:sz w:val="24"/>
        </w:rPr>
        <w:t>[20]</w:t>
      </w:r>
      <w:r>
        <w:rPr>
          <w:rFonts w:eastAsia="宋体" w:ascii="Times New Roman" w:hAnsi="Times New Roman"/>
          <w:b w:val="0"/>
          <w:color w:val="808080"/>
          <w:sz w:val="24"/>
        </w:rPr>
        <w:t>则为每个类别构建一个原型向量（支持集样本的特征均值），并通过欧氏距离将查询样本分配到最近的原型类别。</w:t>
      </w:r>
    </w:p>
    <w:p>
      <w:pPr>
        <w:ind w:firstLine="482"/>
        <w:jc w:val="both"/>
        <w:spacing w:line="440" w:lineRule="exact"/>
      </w:pPr>
      <w:r>
        <w:rPr>
          <w:rFonts w:eastAsia="宋体" w:ascii="Times New Roman" w:hAnsi="Times New Roman"/>
          <w:b w:val="0"/>
          <w:color w:val="808080"/>
          <w:sz w:val="24"/>
        </w:rPr>
        <w:t>在DDI预测的小样本场景中，由于稀有DDI类型的标注样本极度匮乏，原型网络的思路尤为适用——通过少量已知正例构建关系类型的原型表示，再利用子图编码器生成的药物对表示与各类型原型进行相似度比较，即可完成关系类型的分配。这一思路与本文所用KnowDDI模型的匹配分类器设计在本质上是一致的，均依赖于高质量的子图表示来支撑小样本泛化。</w:t>
      </w:r>
    </w:p>
    <w:p>
      <w:pPr>
        <w:spacing w:before="120" w:after="120"/>
        <w:ind w:firstLine="0"/>
        <w:jc w:val="left"/>
      </w:pPr>
      <w:r>
        <w:rPr>
          <w:rFonts w:eastAsia="黑体" w:ascii="Arial" w:hAnsi="Arial"/>
          <w:b/>
          <w:color w:val="000000"/>
          <w:sz w:val="28"/>
        </w:rPr>
        <w:t>2.4.2 数据集说明</w:t>
      </w:r>
    </w:p>
    <w:p>
      <w:pPr>
        <w:ind w:firstLine="482"/>
        <w:jc w:val="both"/>
        <w:spacing w:line="440" w:lineRule="exact"/>
      </w:pPr>
      <w:r>
        <w:rPr>
          <w:rFonts w:eastAsia="宋体" w:ascii="Times New Roman" w:hAnsi="Times New Roman"/>
          <w:b w:val="0"/>
          <w:color w:val="808080"/>
          <w:sz w:val="24"/>
        </w:rPr>
        <w:t>本文实验采用三个主流DDI基准数据集。DrugBank数据集</w:t>
      </w:r>
      <w:r>
        <w:rPr>
          <w:rFonts w:eastAsia="宋体" w:ascii="Times New Roman" w:hAnsi="Times New Roman"/>
          <w:b w:val="0"/>
          <w:color w:val="FF0000"/>
          <w:sz w:val="24"/>
        </w:rPr>
        <w:t>[21]</w:t>
      </w:r>
      <w:r>
        <w:rPr>
          <w:rFonts w:eastAsia="宋体" w:ascii="Times New Roman" w:hAnsi="Times New Roman"/>
          <w:b w:val="0"/>
          <w:color w:val="808080"/>
          <w:sz w:val="24"/>
        </w:rPr>
        <w:t>覆盖1710种药物、86种DDI关系类型，共约191808条已知DDI三元组，以多分类为主要任务形式，是评估DDI关系类型预测性能的标准基准。BioSNAP数据集</w:t>
      </w:r>
      <w:r>
        <w:rPr>
          <w:rFonts w:eastAsia="宋体" w:ascii="Times New Roman" w:hAnsi="Times New Roman"/>
          <w:b w:val="0"/>
          <w:color w:val="FF0000"/>
          <w:sz w:val="24"/>
        </w:rPr>
        <w:t>[22]</w:t>
      </w:r>
      <w:r>
        <w:rPr>
          <w:rFonts w:eastAsia="宋体" w:ascii="Times New Roman" w:hAnsi="Times New Roman"/>
          <w:b w:val="0"/>
          <w:color w:val="808080"/>
          <w:sz w:val="24"/>
        </w:rPr>
        <w:t>来源于FDA标签与文献挖掘，包含1335种药物和对应的二元DDI标签，侧重DDI存在性的二分类预测。TWOSIDES数据集</w:t>
      </w:r>
      <w:r>
        <w:rPr>
          <w:rFonts w:eastAsia="宋体" w:ascii="Times New Roman" w:hAnsi="Times New Roman"/>
          <w:b w:val="0"/>
          <w:color w:val="FF0000"/>
          <w:sz w:val="24"/>
        </w:rPr>
        <w:t>[23]</w:t>
      </w:r>
      <w:r>
        <w:rPr>
          <w:rFonts w:eastAsia="宋体" w:ascii="Times New Roman" w:hAnsi="Times New Roman"/>
          <w:b w:val="0"/>
          <w:color w:val="808080"/>
          <w:sz w:val="24"/>
        </w:rPr>
        <w:t>则汇集了来自FDA不良事件报告系统（FAERS）的药物副作用数据，包含645种药物和963种副作用类型，以AUROC和AUPRC为主要评价指标。三个数据集在规模、任务形式和标注来源上各有侧重，共同构成对本文模型泛化性能的多维度验证体系。</w:t>
      </w:r>
    </w:p>
    <w:p>
      <w:pPr>
        <w:spacing w:before="120" w:after="120"/>
        <w:ind w:firstLine="0"/>
        <w:jc w:val="left"/>
      </w:pPr>
      <w:r>
        <w:rPr>
          <w:rFonts w:eastAsia="黑体" w:ascii="Arial" w:hAnsi="Arial"/>
          <w:b/>
          <w:color w:val="000000"/>
          <w:sz w:val="28"/>
        </w:rPr>
        <w:t>2.5 模型轻量化技术</w:t>
      </w:r>
    </w:p>
    <w:p>
      <w:pPr>
        <w:ind w:firstLine="482"/>
        <w:jc w:val="both"/>
        <w:spacing w:line="440" w:lineRule="exact"/>
      </w:pPr>
      <w:r>
        <w:rPr>
          <w:rFonts w:eastAsia="宋体" w:ascii="Times New Roman" w:hAnsi="Times New Roman"/>
          <w:b w:val="0"/>
          <w:color w:val="000000"/>
          <w:sz w:val="24"/>
        </w:rPr>
        <w:t>模型轻量化是指在保持模型预测性能基本不变的前提下，通过减少参数量、降低计算复杂度或压缩模型规模，使模型更适合在资源受限的环境中运行。</w:t>
      </w:r>
    </w:p>
    <w:p>
      <w:pPr>
        <w:spacing w:before="120" w:after="120"/>
        <w:ind w:firstLine="0"/>
        <w:jc w:val="left"/>
      </w:pPr>
      <w:r>
        <w:rPr>
          <w:rFonts w:eastAsia="黑体" w:ascii="Arial" w:hAnsi="Arial"/>
          <w:b/>
          <w:color w:val="000000"/>
          <w:sz w:val="28"/>
        </w:rPr>
        <w:t>2.5.1 参数压缩方法</w:t>
      </w:r>
    </w:p>
    <w:p>
      <w:pPr>
        <w:ind w:firstLine="482"/>
        <w:jc w:val="both"/>
        <w:spacing w:line="440" w:lineRule="exact"/>
      </w:pPr>
      <w:r>
        <w:rPr>
          <w:rFonts w:eastAsia="宋体" w:ascii="Times New Roman" w:hAnsi="Times New Roman"/>
          <w:b w:val="0"/>
          <w:color w:val="000000"/>
          <w:sz w:val="24"/>
        </w:rPr>
        <w:t>参数层面的压缩思路主要包括三种。其一是网络剪枝（Pruning），即识别并移除对模型性能贡献较小的权重或神经元，以降低参数量与计算量，具体可在结构层面（结构化剪枝）或权重层面（非结构化剪枝）进行；其二是特征维度压缩，通过减小嵌入维度（Embedding Dimension）和隐层维度（Hidden Dimension），同时削减参数量与中间激活的内存占用，本文将其作为核心轻量化手段之一</w:t>
      </w:r>
      <w:r>
        <w:rPr>
          <w:rFonts w:eastAsia="宋体" w:ascii="Times New Roman" w:hAnsi="Times New Roman"/>
          <w:b w:val="0"/>
          <w:color w:val="1F49D8"/>
          <w:sz w:val="24"/>
        </w:rPr>
        <w:t>，具体落在emb_dim、gsl_rel_emb_dim、MLP_hidden_dim三维同比例缩减上</w:t>
      </w:r>
      <w:r>
        <w:rPr>
          <w:rFonts w:eastAsia="宋体" w:ascii="Times New Roman" w:hAnsi="Times New Roman"/>
          <w:b w:val="0"/>
          <w:color w:val="000000"/>
          <w:sz w:val="24"/>
        </w:rPr>
        <w:t>；其三是网络层数缩减，通过减少GNN的迭代层数，降低图传播的计算深度，进而减少推理时延。</w:t>
      </w:r>
      <w:r>
        <w:rPr>
          <w:rFonts w:eastAsia="宋体" w:ascii="Times New Roman" w:hAnsi="Times New Roman"/>
          <w:b w:val="0"/>
          <w:color w:val="1F49D8"/>
          <w:sz w:val="24"/>
        </w:rPr>
        <w:t>本文采用静态压缩配置，未引入动态剪枝或运行期量化，使得不同变体间的精度差异可被解释为压缩比例本身的影响，而非压缩调度策略带来的扰动。</w:t>
      </w:r>
    </w:p>
    <w:p>
      <w:pPr>
        <w:spacing w:before="120" w:after="120"/>
        <w:ind w:firstLine="0"/>
        <w:jc w:val="left"/>
      </w:pPr>
      <w:r>
        <w:rPr>
          <w:rFonts w:eastAsia="黑体" w:ascii="Arial" w:hAnsi="Arial"/>
          <w:b/>
          <w:color w:val="000000"/>
          <w:sz w:val="28"/>
        </w:rPr>
        <w:t>2.5.2 拓扑压缩方法</w:t>
      </w:r>
    </w:p>
    <w:p>
      <w:pPr>
        <w:ind w:firstLine="482"/>
        <w:jc w:val="both"/>
        <w:spacing w:line="440" w:lineRule="exact"/>
      </w:pPr>
      <w:r>
        <w:rPr>
          <w:rFonts w:eastAsia="宋体" w:ascii="Times New Roman" w:hAnsi="Times New Roman"/>
          <w:b w:val="0"/>
          <w:color w:val="000000"/>
          <w:sz w:val="24"/>
        </w:rPr>
        <w:t>针对图神经网络特有的计算结构，拓扑压缩通过减少图传播过程中涉及的节点数和边数来降低计算开销。具体而言，一方面可在子图提取阶段进行稀疏采样，通过控制每跳保留的最大节点数（max_nodes_per_hop）与最大候选边数（max_links），从输入规模上降低图传播的计算复杂度，本文将其作为另一核心轻量化手段</w:t>
      </w:r>
      <w:r>
        <w:rPr>
          <w:rFonts w:eastAsia="宋体" w:ascii="Times New Roman" w:hAnsi="Times New Roman"/>
          <w:b w:val="0"/>
          <w:color w:val="1F49D8"/>
          <w:sz w:val="24"/>
        </w:rPr>
        <w:t>；其中max_nodes_per_hop作用于DIG子图BFS扩展阶段，max_links则作用于GSL阶段的批内候选完全图，两者协同决定了拓扑维度的整体复杂度</w:t>
      </w:r>
      <w:r>
        <w:rPr>
          <w:rFonts w:eastAsia="宋体" w:ascii="Times New Roman" w:hAnsi="Times New Roman"/>
          <w:b w:val="0"/>
          <w:color w:val="000000"/>
          <w:sz w:val="24"/>
        </w:rPr>
        <w:t>；另一方面可在消息传递过程中进行邻域采样，仅选取固定数量的邻居节点参与聚合，从而避免高度节点带来的计算瓶颈。</w:t>
      </w:r>
    </w:p>
    <w:p>
      <w:pPr>
        <w:spacing w:before="120" w:after="120"/>
        <w:ind w:firstLine="0"/>
        <w:jc w:val="left"/>
      </w:pPr>
      <w:r>
        <w:rPr>
          <w:rFonts w:eastAsia="黑体" w:ascii="Arial" w:hAnsi="Arial"/>
          <w:b/>
          <w:color w:val="000000"/>
          <w:sz w:val="28"/>
        </w:rPr>
        <w:t>2.5.3 知识蒸馏方法</w:t>
      </w:r>
    </w:p>
    <w:p>
      <w:pPr>
        <w:ind w:firstLine="482"/>
        <w:jc w:val="both"/>
        <w:spacing w:line="440" w:lineRule="exact"/>
      </w:pPr>
      <w:r>
        <w:rPr>
          <w:rFonts w:eastAsia="宋体" w:ascii="Times New Roman" w:hAnsi="Times New Roman"/>
          <w:b w:val="0"/>
          <w:color w:val="808080"/>
          <w:sz w:val="24"/>
        </w:rPr>
        <w:t>知识蒸馏（Knowledge Distillation, KD）由Hinton等人</w:t>
      </w:r>
      <w:r>
        <w:rPr>
          <w:rFonts w:eastAsia="宋体" w:ascii="Times New Roman" w:hAnsi="Times New Roman"/>
          <w:b w:val="0"/>
          <w:color w:val="FF0000"/>
          <w:sz w:val="24"/>
        </w:rPr>
        <w:t>[24]</w:t>
      </w:r>
      <w:r>
        <w:rPr>
          <w:rFonts w:eastAsia="宋体" w:ascii="Times New Roman" w:hAnsi="Times New Roman"/>
          <w:b w:val="0"/>
          <w:color w:val="808080"/>
          <w:sz w:val="24"/>
        </w:rPr>
        <w:t>提出，是一种通过"教师-学生"框架实现模型压缩的技术。大型教师模型（Teacher）的软标签输出（Soft Logits）包含了比硬标签更丰富的类间相似度信息，学生模型通过同时拟合软标签和真实硬标签来在紧凑的参数规模下近似教师模型的泛化能力。除输出层蒸馏外，特征蒸馏（Feature Distillation）通过对齐中间层的特征表示进一步增强迁移效果。在图神经网络压缩领域，GNN蒸馏方法</w:t>
      </w:r>
      <w:r>
        <w:rPr>
          <w:rFonts w:eastAsia="宋体" w:ascii="Times New Roman" w:hAnsi="Times New Roman"/>
          <w:b w:val="0"/>
          <w:color w:val="FF0000"/>
          <w:sz w:val="24"/>
        </w:rPr>
        <w:t>[25]</w:t>
      </w:r>
      <w:r>
        <w:rPr>
          <w:rFonts w:eastAsia="宋体" w:ascii="Times New Roman" w:hAnsi="Times New Roman"/>
          <w:b w:val="0"/>
          <w:color w:val="808080"/>
          <w:sz w:val="24"/>
        </w:rPr>
        <w:t>将节点嵌入的对齐约束从全局图扩展到局部子图，取得了显著的压缩效果。</w:t>
      </w:r>
    </w:p>
    <w:p>
      <w:pPr>
        <w:ind w:firstLine="482"/>
        <w:jc w:val="both"/>
        <w:spacing w:line="440" w:lineRule="exact"/>
      </w:pPr>
      <w:r>
        <w:rPr>
          <w:rFonts w:eastAsia="宋体" w:ascii="Times New Roman" w:hAnsi="Times New Roman"/>
          <w:b w:val="0"/>
          <w:color w:val="808080"/>
          <w:sz w:val="24"/>
        </w:rPr>
        <w:t>本文未引入知识蒸馏策略，而是采用直接降维与拓扑稀疏化的方式进行轻量化，原因在于：（1）蒸馏方法依赖一个预先训练好的高性能教师模型，增加了实验流程的复杂性；（2）本文的核心目标是量化不同压缩操作本身对精度-效率折中曲线的边际影响，保持单一变量原则有助于结论的可解释性。蒸馏方法可作为进一步提升轻量化效果的后续工作方向。</w:t>
      </w:r>
    </w:p>
    <w:p>
      <w:pPr>
        <w:spacing w:before="120" w:after="120"/>
        <w:ind w:firstLine="0"/>
        <w:jc w:val="left"/>
      </w:pPr>
      <w:r>
        <w:rPr>
          <w:rFonts w:eastAsia="黑体" w:ascii="Arial" w:hAnsi="Arial"/>
          <w:b/>
          <w:color w:val="000000"/>
          <w:sz w:val="28"/>
        </w:rPr>
        <w:t>2.5.4 轻量化评估指标</w:t>
      </w:r>
    </w:p>
    <w:p>
      <w:pPr>
        <w:ind w:firstLine="482"/>
        <w:jc w:val="both"/>
        <w:spacing w:line="440" w:lineRule="exact"/>
      </w:pPr>
      <w:r>
        <w:rPr>
          <w:rFonts w:eastAsia="宋体" w:ascii="Times New Roman" w:hAnsi="Times New Roman"/>
          <w:b w:val="0"/>
          <w:color w:val="000000"/>
          <w:sz w:val="24"/>
        </w:rPr>
        <w:t>本文采用三类指标对轻量化方案进行综合评估。在精度方面，DrugBank任务采用Macro-F1、ACC和Cohen's κ，TWOSIDES任务采用AUROC和AUPRC；在效率方面，记录推理总时延（Inference Latency，以分钟为单位）与GPU显存峰值（Peak VRAM，以MiB为单位）</w:t>
      </w:r>
      <w:r>
        <w:rPr>
          <w:rFonts w:eastAsia="宋体" w:ascii="Times New Roman" w:hAnsi="Times New Roman"/>
          <w:b w:val="0"/>
          <w:color w:val="1F49D8"/>
          <w:sz w:val="24"/>
        </w:rPr>
        <w:t>，前者通过torch.cuda.synchronize配合time.perf_counter在eval_only模式下端到端测量，后者通过torch.cuda.reset_peak_memory_stats与max_memory_allocated配对获取</w:t>
      </w:r>
      <w:r>
        <w:rPr>
          <w:rFonts w:eastAsia="宋体" w:ascii="Times New Roman" w:hAnsi="Times New Roman"/>
          <w:b w:val="0"/>
          <w:color w:val="000000"/>
          <w:sz w:val="24"/>
        </w:rPr>
        <w:t>；在此基础上进行综合折中分析，通过对比精度损失百分比与资源节省百分比，量化不同轻量化方案的性价比。</w:t>
      </w:r>
      <w:r>
        <w:rPr>
          <w:rFonts w:eastAsia="宋体" w:ascii="Times New Roman" w:hAnsi="Times New Roman"/>
          <w:b w:val="0"/>
          <w:color w:val="1F49D8"/>
          <w:sz w:val="24"/>
        </w:rPr>
        <w:t>还有，本文沿用KnowDDI原作的GraphSAGE全局编码（DGL实现的SAGEConv）+多层GSL消息传递组合，未替换为更新的GAT或Transformer类编码器，目的是把变量控制在"图结构学习的去噪/补全开关"这一条主线上；在GSL侧采用基于MLP的边打分函数（func_num=1，输入为节点对表示与关系嵌入的拼接），并在原有边权计算之外新增了EdgeGateNetwork门控网络，由其分出gate_head/denoise_head/completion_head三个并列输出头，分别对应"是否激活"、"去噪强度"与"补全强度"，是后续解耦实验的核心可控点。</w:t>
      </w:r>
    </w:p>
    <w:p>
      <w:pPr>
        <w:ind w:firstLine="482"/>
        <w:jc w:val="both"/>
        <w:spacing w:line="440" w:lineRule="exact"/>
      </w:pPr>
      <w:r>
        <w:rPr>
          <w:rFonts w:eastAsia="宋体" w:ascii="Times New Roman" w:hAnsi="Times New Roman"/>
          <w:b w:val="0"/>
          <w:color w:val="CC9900"/>
          <w:sz w:val="24"/>
        </w:rPr>
        <w:t>本文所用的KnowDDI技术栈分层结构及两类压缩入口的对应位置如图2-1所示，拓扑入口与参数入口分别标注在各自对应的模块旁，便于与后文max_nodes_per_hop和emb_dim两组参数区分对照。</w:t>
      </w:r>
    </w:p>
    <w:p>
      <w:pPr>
        <w:ind w:firstLine="0"/>
        <w:jc w:val="center"/>
      </w:pPr>
      <w:r>
        <w:rPr>
          <w:rFonts w:eastAsia="宋体" w:ascii="Times New Roman" w:hAnsi="Times New Roman"/>
          <w:b/>
          <w:color w:val="1F49D8"/>
          <w:sz w:val="24"/>
        </w:rPr>
        <w:t>【待插图：图2-1 本文使用的KnowDDI技术栈分层示意（GraphSAGE编码层 / GSL门控层 / 分类器层 / 轻量化压缩入口标注）】</w:t>
      </w:r>
    </w:p>
    <w:p>
      <w:pPr>
        <w:spacing w:before="120" w:after="120"/>
        <w:ind w:firstLine="0"/>
        <w:jc w:val="left"/>
      </w:pPr>
      <w:r>
        <w:rPr>
          <w:rFonts w:eastAsia="黑体" w:ascii="Arial" w:hAnsi="Arial"/>
          <w:b/>
          <w:color w:val="000000"/>
          <w:sz w:val="28"/>
        </w:rPr>
        <w:t>2.6 本章小结</w:t>
      </w:r>
    </w:p>
    <w:p>
      <w:pPr>
        <w:ind w:firstLine="482"/>
        <w:jc w:val="both"/>
        <w:spacing w:line="440" w:lineRule="exact"/>
      </w:pPr>
      <w:r>
        <w:rPr>
          <w:rFonts w:eastAsia="宋体" w:ascii="Times New Roman" w:hAnsi="Times New Roman"/>
          <w:b w:val="0"/>
          <w:color w:val="008B00"/>
          <w:sz w:val="24"/>
        </w:rPr>
        <w:t>本章围绕本文研究所涉及的基础理论与关键技术展开梳理，依次介绍了知识图谱与生物医学知识图谱的基本概念与典型实例、图神经网络的核心原理及GraphSAGE/GAT等代表性模型、面向小样本DDI预测的图结构学习与自适应子图抽取思路，以及在边缘部署需求驱动下的模型轻量化方法体系。上述内容为后续章节中针对KnowDDI模型的图结构学习机制解耦研究、以及面向资源受限场景的"拓扑—参数"协同轻量化设计奠定了理论与技术基础。</w:t>
      </w:r>
    </w:p>
    <w:p>
      <w:r>
        <w:br w:type="page"/>
      </w:r>
    </w:p>
    <w:p>
      <w:pPr>
        <w:spacing w:before="240" w:after="240"/>
        <w:ind w:firstLine="0"/>
        <w:jc w:val="center"/>
      </w:pPr>
      <w:r>
        <w:rPr>
          <w:rFonts w:eastAsia="黑体" w:ascii="Arial" w:hAnsi="Arial"/>
          <w:b/>
          <w:color w:val="000000"/>
          <w:sz w:val="32"/>
        </w:rPr>
        <w:t>第四章  图结构学习机制的消融解耦研究</w:t>
      </w:r>
    </w:p>
    <w:p>
      <w:pPr>
        <w:spacing w:before="120" w:after="120"/>
        <w:ind w:firstLine="0"/>
        <w:jc w:val="left"/>
      </w:pPr>
      <w:r>
        <w:rPr>
          <w:rFonts w:eastAsia="黑体" w:ascii="Arial" w:hAnsi="Arial"/>
          <w:b/>
          <w:color w:val="000000"/>
          <w:sz w:val="28"/>
        </w:rPr>
        <w:t>4.1 KnowDDI模型与实验基线</w:t>
      </w:r>
    </w:p>
    <w:p>
      <w:pPr>
        <w:ind w:firstLine="482"/>
        <w:jc w:val="both"/>
        <w:spacing w:line="440" w:lineRule="exact"/>
      </w:pPr>
      <w:r>
        <w:rPr>
          <w:rFonts w:eastAsia="宋体" w:ascii="Times New Roman" w:hAnsi="Times New Roman"/>
          <w:b w:val="0"/>
          <w:color w:val="008B00"/>
          <w:sz w:val="24"/>
        </w:rPr>
        <w:t>本节围绕本章消融研究所依托的KnowDDI模型及其复现基线展开介绍，重点说明与图结构学习模块（GSL）相关的结构与参数，以便后续章节聚焦"去噪"与"补全"两类操作的解耦分析。</w:t>
      </w:r>
    </w:p>
    <w:p>
      <w:pPr>
        <w:ind w:firstLine="482"/>
        <w:jc w:val="both"/>
        <w:spacing w:line="440" w:lineRule="exact"/>
      </w:pPr>
      <w:r>
        <w:rPr>
          <w:rFonts w:eastAsia="宋体" w:ascii="Times New Roman" w:hAnsi="Times New Roman"/>
          <w:b w:val="0"/>
          <w:color w:val="008B00"/>
          <w:sz w:val="24"/>
        </w:rPr>
        <w:t>4.1.1 KnowDDI整体框架与GSL模块</w:t>
      </w:r>
    </w:p>
    <w:p>
      <w:pPr>
        <w:ind w:firstLine="482"/>
        <w:jc w:val="both"/>
        <w:spacing w:line="440" w:lineRule="exact"/>
      </w:pPr>
      <w:r>
        <w:rPr>
          <w:rFonts w:eastAsia="宋体" w:ascii="Times New Roman" w:hAnsi="Times New Roman"/>
          <w:b w:val="0"/>
          <w:color w:val="008B00"/>
          <w:sz w:val="24"/>
        </w:rPr>
        <w:t>KnowDDI</w:t>
      </w:r>
      <w:r>
        <w:rPr>
          <w:rFonts w:eastAsia="宋体" w:ascii="Times New Roman" w:hAnsi="Times New Roman"/>
          <w:b w:val="0"/>
          <w:color w:val="FF0000"/>
          <w:sz w:val="24"/>
        </w:rPr>
        <w:t>[7]</w:t>
      </w:r>
      <w:r>
        <w:rPr>
          <w:rFonts w:eastAsia="宋体" w:ascii="Times New Roman" w:hAnsi="Times New Roman"/>
          <w:b w:val="0"/>
          <w:color w:val="008B00"/>
          <w:sz w:val="24"/>
        </w:rPr>
        <w:t>的整体框架包含子图抽取、GraphSAGE全局编码、图结构学习（GSL）以及分类器四个核心组件。前两者负责从背景知识图谱（BKG，本文采用Hetionet v1.0）中为目标药物对抽取局部子图并初始化节点嵌入，第三个GSL模块对子图边权重进行学习，最后由分类器输出DDI关系类型的预测概率。本章关注的"去噪"与"补全"两类机制均封装在GSL模块中。</w:t>
      </w:r>
    </w:p>
    <w:p>
      <w:pPr>
        <w:ind w:firstLine="482"/>
        <w:jc w:val="both"/>
        <w:spacing w:line="440" w:lineRule="exact"/>
      </w:pPr>
      <w:r>
        <w:rPr>
          <w:rFonts w:eastAsia="宋体" w:ascii="Times New Roman" w:hAnsi="Times New Roman"/>
          <w:b w:val="0"/>
          <w:color w:val="008B00"/>
          <w:sz w:val="24"/>
        </w:rPr>
        <w:t>GSL模块（pytorch/model/gsl_model.py）在批内构造候选完全连接图，对每条候选边拼接源节点表示、目标节点表示及关系嵌入，输入EdgeGateNetwork得到综合门控得分、去噪得分（denoise_head）与补全得分（completion_head）。模型通过edge softmax归一化后再施加阈值化或Top-K稀疏化，最终在优化后的图结构上完成多轮消息传递。</w:t>
      </w:r>
    </w:p>
    <w:p>
      <w:pPr>
        <w:ind w:firstLine="0"/>
        <w:jc w:val="center"/>
      </w:pPr>
      <w:r>
        <w:rPr>
          <w:rFonts w:eastAsia="宋体" w:ascii="Times New Roman" w:hAnsi="Times New Roman"/>
          <w:b/>
          <w:color w:val="FF0000"/>
          <w:sz w:val="24"/>
        </w:rPr>
        <w:t>【待插代码截图：KnowDDI 中 EdgeGateNetwork 与 graph_structure_learner 的关键定义（pytorch/model/gsl_model.py 第31~57行的 EdgeGateNetwork 类，以及第68~125行 graph_structure_learner.__init__ 中关于 gsl_mode、use_denoise、use_completion 的字段设置）】</w:t>
      </w:r>
    </w:p>
    <w:p>
      <w:pPr>
        <w:ind w:firstLine="482"/>
        <w:jc w:val="both"/>
        <w:spacing w:line="440" w:lineRule="exact"/>
      </w:pPr>
      <w:r>
        <w:rPr>
          <w:rFonts w:eastAsia="宋体" w:ascii="Times New Roman" w:hAnsi="Times New Roman"/>
          <w:b w:val="0"/>
          <w:color w:val="008B00"/>
          <w:sz w:val="24"/>
        </w:rPr>
        <w:t>在原版KnowDDI中，去噪与补全两类操作被封装于同一EdgeGateNetwork内联合训练，无法直接得到两者各自对预测性能的边际贡献。为此，本文在不改动主干网络的前提下，通过新增训练入口参数--gsl_mode、--use_denoise、--use_completion，分别控制门控网络中denoise分支与completion分支是否参与计算，从而构造可消融、可复现的受控变体。</w:t>
      </w:r>
      <w:r>
        <w:rPr>
          <w:rFonts w:eastAsia="宋体" w:ascii="Times New Roman" w:hAnsi="Times New Roman"/>
          <w:b w:val="0"/>
          <w:color w:val="1F49D8"/>
          <w:sz w:val="24"/>
        </w:rPr>
        <w:t>具体到接线层面，EdgeGateNetwork的输入由四部分顺序concat组成：源节点表示h_src（emb_dim维）、目标节点表示h_dst（emb_dim维）、节点角色嵌入role_emb（通过nn.Embedding(3, role_emb_dim)将节点编码为头节点/尾节点/中间节点三类）、以及若干结构辅助标量（节点对相对距离等3维），当gsl_has_edge_emb=True时还会再追加一段gsl_rel_emb_dim维的关系嵌入；其内部由两层MLP+LayerNorm+LeakyReLU+Dropout构成，再分出gate_head/denoise_head/completion_head三个nn.Linear(hidden_dim, 1)头，分别输出门控总打分s_g、去噪打分s_d与补全打分s_c。三类打分按 w_ij = sigmoid(s_g + α_d·I_denoise·s_d + α_c·I_completion·s_c) 融合，其中I_denoise/I_completion由命令行开关决定是否激活，α_d、α_c即denoise_alpha/completion_alpha；当gsl_mode='baseline'时两个指示变量均为0，整个门控退化为只受s_g驱动的固定边权机制，当gsl_mode='full'时两者同时为1，等价于KnowDDI原版联合训练形式。还有一点容易被忽略：denoise分支只对"原始子图中已存在的边"重加权，completion分支只对"候选完全图中原本不存在的边"打分，这一区分通过对batch内候选完全图先打mask、再在融合阶段按mask分别施加s_d与s_c实现，参数完全共享，不会引入额外可训练参数，使得四组变体之间的参数量绝对一致，消融对比不会因模型容量差异而失真。</w:t>
      </w:r>
      <w:r>
        <w:rPr>
          <w:rFonts w:eastAsia="宋体" w:ascii="Times New Roman" w:hAnsi="Times New Roman"/>
          <w:b w:val="0"/>
          <w:color w:val="CC9900"/>
          <w:sz w:val="24"/>
        </w:rPr>
        <w:t>如图4-1所示，EdgeGateNetwork从五类输入特征拼接，经共享Encoder，最终分出gate/denoise/completion三路并列输出头，各开关位置与上述融合公式中的指示变量一一对应。</w:t>
      </w:r>
    </w:p>
    <w:p>
      <w:pPr>
        <w:ind w:firstLine="0"/>
        <w:jc w:val="center"/>
      </w:pPr>
      <w:r>
        <w:rPr>
          <w:rFonts w:eastAsia="宋体" w:ascii="Times New Roman" w:hAnsi="Times New Roman"/>
          <w:b/>
          <w:color w:val="1F49D8"/>
          <w:sz w:val="24"/>
        </w:rPr>
        <w:t>【待插图：图4-1 EdgeGateNetwork的内部接线与三路输出头示意图（输入拼接 → 共享隐藏层 → gate/denoise/completion 三路并列输出，标出技术路径上的开关位置）】</w:t>
      </w:r>
    </w:p>
    <w:p>
      <w:pPr>
        <w:ind w:firstLine="0"/>
        <w:jc w:val="center"/>
      </w:pPr>
      <w:r>
        <w:rPr>
          <w:rFonts w:eastAsia="宋体" w:ascii="Times New Roman" w:hAnsi="Times New Roman"/>
          <w:b/>
          <w:color w:val="FF0000"/>
          <w:sz w:val="24"/>
        </w:rPr>
        <w:t>【待插代码截图：本文新增的命令行入口及其在 graph_structure_learner 中的使用方式（pytorch/train.py 第163~184行 gsl_Model params 区块的 --gsl_mode/--use_denoise/--use_completion/--denoise_alpha/--completion_alpha 参数定义）】</w:t>
      </w:r>
    </w:p>
    <w:p>
      <w:pPr>
        <w:ind w:firstLine="482"/>
        <w:jc w:val="both"/>
        <w:spacing w:line="440" w:lineRule="exact"/>
      </w:pPr>
      <w:r>
        <w:rPr>
          <w:rFonts w:eastAsia="宋体" w:ascii="Times New Roman" w:hAnsi="Times New Roman"/>
          <w:b w:val="0"/>
          <w:color w:val="008B00"/>
          <w:sz w:val="24"/>
        </w:rPr>
        <w:t>4.1.2 数据集与实验环境</w:t>
      </w:r>
    </w:p>
    <w:p>
      <w:pPr>
        <w:ind w:firstLine="482"/>
        <w:jc w:val="both"/>
        <w:spacing w:line="440" w:lineRule="exact"/>
      </w:pPr>
      <w:r>
        <w:rPr>
          <w:rFonts w:eastAsia="宋体" w:ascii="Times New Roman" w:hAnsi="Times New Roman"/>
          <w:b w:val="0"/>
          <w:color w:val="008B00"/>
          <w:sz w:val="24"/>
        </w:rPr>
        <w:t>本文使用以下两个公开DDI基准数据集：</w:t>
      </w:r>
    </w:p>
    <w:p>
      <w:pPr>
        <w:ind w:firstLine="482"/>
        <w:jc w:val="both"/>
        <w:spacing w:line="440" w:lineRule="exact"/>
      </w:pPr>
      <w:r>
        <w:rPr>
          <w:rFonts w:eastAsia="宋体" w:ascii="Times New Roman" w:hAnsi="Times New Roman"/>
          <w:b w:val="0"/>
          <w:color w:val="008B00"/>
          <w:sz w:val="24"/>
        </w:rPr>
        <w:t>（1）DrugBank数据集</w:t>
      </w:r>
      <w:r>
        <w:rPr>
          <w:rFonts w:eastAsia="宋体" w:ascii="Times New Roman" w:hAnsi="Times New Roman"/>
          <w:b w:val="0"/>
          <w:color w:val="FF0000"/>
          <w:sz w:val="24"/>
        </w:rPr>
        <w:t>[11]</w:t>
      </w:r>
      <w:r>
        <w:rPr>
          <w:rFonts w:eastAsia="宋体" w:ascii="Times New Roman" w:hAnsi="Times New Roman"/>
          <w:b w:val="0"/>
          <w:color w:val="008B00"/>
          <w:sz w:val="24"/>
        </w:rPr>
        <w:t>。本文使用其多分类DDI子集，包含1710种药物和86类DDI关系类型，按标准划分为训练/验证/测试集，统计如表4-1所示。</w:t>
      </w:r>
    </w:p>
    <w:p>
      <w:pPr>
        <w:ind w:firstLine="482"/>
        <w:jc w:val="both"/>
        <w:spacing w:line="440" w:lineRule="exact"/>
      </w:pPr>
      <w:r>
        <w:rPr>
          <w:rFonts w:eastAsia="宋体" w:ascii="Times New Roman" w:hAnsi="Times New Roman"/>
          <w:b w:val="0"/>
          <w:color w:val="008B00"/>
          <w:sz w:val="24"/>
        </w:rPr>
        <w:t>表4-1 DrugBank数据集统计</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jc w:val="center"/>
            </w:pPr>
            <w:r/>
            <w:r>
              <w:rPr>
                <w:rFonts w:eastAsia="宋体" w:ascii="Times New Roman" w:hAnsi="Times New Roman"/>
                <w:b/>
                <w:color w:val="000000"/>
                <w:sz w:val="21"/>
              </w:rPr>
              <w:t>子集</w:t>
            </w:r>
          </w:p>
        </w:tc>
        <w:tc>
          <w:tcPr>
            <w:tcW w:type="dxa" w:w="2197"/>
          </w:tcPr>
          <w:p>
            <w:pPr>
              <w:jc w:val="center"/>
            </w:pPr>
            <w:r/>
            <w:r>
              <w:rPr>
                <w:rFonts w:eastAsia="宋体" w:ascii="Times New Roman" w:hAnsi="Times New Roman"/>
                <w:b/>
                <w:color w:val="000000"/>
                <w:sz w:val="21"/>
              </w:rPr>
              <w:t>样本数</w:t>
            </w:r>
          </w:p>
        </w:tc>
        <w:tc>
          <w:tcPr>
            <w:tcW w:type="dxa" w:w="2197"/>
          </w:tcPr>
          <w:p>
            <w:pPr>
              <w:jc w:val="center"/>
            </w:pPr>
            <w:r/>
            <w:r>
              <w:rPr>
                <w:rFonts w:eastAsia="宋体" w:ascii="Times New Roman" w:hAnsi="Times New Roman"/>
                <w:b/>
                <w:color w:val="000000"/>
                <w:sz w:val="21"/>
              </w:rPr>
              <w:t>药物数</w:t>
            </w:r>
          </w:p>
        </w:tc>
        <w:tc>
          <w:tcPr>
            <w:tcW w:type="dxa" w:w="2197"/>
          </w:tcPr>
          <w:p>
            <w:pPr>
              <w:jc w:val="center"/>
            </w:pPr>
            <w:r/>
            <w:r>
              <w:rPr>
                <w:rFonts w:eastAsia="宋体" w:ascii="Times New Roman" w:hAnsi="Times New Roman"/>
                <w:b/>
                <w:color w:val="000000"/>
                <w:sz w:val="21"/>
              </w:rPr>
              <w:t>关系类型数</w:t>
            </w:r>
          </w:p>
        </w:tc>
      </w:tr>
      <w:tr>
        <w:tc>
          <w:tcPr>
            <w:tcW w:type="dxa" w:w="2197"/>
          </w:tcPr>
          <w:p>
            <w:pPr>
              <w:jc w:val="center"/>
            </w:pPr>
            <w:r/>
            <w:r>
              <w:rPr>
                <w:rFonts w:eastAsia="宋体" w:ascii="Times New Roman" w:hAnsi="Times New Roman"/>
                <w:b w:val="0"/>
                <w:color w:val="000000"/>
                <w:sz w:val="21"/>
              </w:rPr>
              <w:t>验证集</w:t>
            </w:r>
          </w:p>
        </w:tc>
        <w:tc>
          <w:tcPr>
            <w:tcW w:type="dxa" w:w="2197"/>
          </w:tcPr>
          <w:p>
            <w:pPr>
              <w:jc w:val="center"/>
            </w:pPr>
            <w:r/>
            <w:r>
              <w:rPr>
                <w:rFonts w:eastAsia="宋体" w:ascii="Times New Roman" w:hAnsi="Times New Roman"/>
                <w:b w:val="0"/>
                <w:color w:val="000000"/>
                <w:sz w:val="21"/>
              </w:rPr>
              <w:t>23,976</w:t>
            </w:r>
          </w:p>
        </w:tc>
        <w:tc>
          <w:tcPr>
            <w:tcW w:type="dxa" w:w="2197"/>
          </w:tcPr>
          <w:p>
            <w:pPr>
              <w:jc w:val="center"/>
            </w:pPr>
            <w:r/>
            <w:r>
              <w:rPr>
                <w:rFonts w:eastAsia="宋体" w:ascii="Times New Roman" w:hAnsi="Times New Roman"/>
                <w:b w:val="0"/>
                <w:color w:val="000000"/>
                <w:sz w:val="21"/>
              </w:rPr>
              <w:t>1,710</w:t>
            </w:r>
          </w:p>
        </w:tc>
        <w:tc>
          <w:tcPr>
            <w:tcW w:type="dxa" w:w="2197"/>
          </w:tcPr>
          <w:p>
            <w:pPr>
              <w:jc w:val="center"/>
            </w:pPr>
            <w:r/>
            <w:r>
              <w:rPr>
                <w:rFonts w:eastAsia="宋体" w:ascii="Times New Roman" w:hAnsi="Times New Roman"/>
                <w:b w:val="0"/>
                <w:color w:val="000000"/>
                <w:sz w:val="21"/>
              </w:rPr>
              <w:t>86</w:t>
            </w:r>
          </w:p>
        </w:tc>
      </w:tr>
      <w:tr>
        <w:tc>
          <w:tcPr>
            <w:tcW w:type="dxa" w:w="2197"/>
          </w:tcPr>
          <w:p>
            <w:pPr>
              <w:jc w:val="center"/>
            </w:pPr>
            <w:r/>
            <w:r>
              <w:rPr>
                <w:rFonts w:eastAsia="宋体" w:ascii="Times New Roman" w:hAnsi="Times New Roman"/>
                <w:b w:val="0"/>
                <w:color w:val="000000"/>
                <w:sz w:val="21"/>
              </w:rPr>
              <w:t>测试集</w:t>
            </w:r>
          </w:p>
        </w:tc>
        <w:tc>
          <w:tcPr>
            <w:tcW w:type="dxa" w:w="2197"/>
          </w:tcPr>
          <w:p>
            <w:pPr>
              <w:jc w:val="center"/>
            </w:pPr>
            <w:r/>
            <w:r>
              <w:rPr>
                <w:rFonts w:eastAsia="宋体" w:ascii="Times New Roman" w:hAnsi="Times New Roman"/>
                <w:b w:val="0"/>
                <w:color w:val="000000"/>
                <w:sz w:val="21"/>
              </w:rPr>
              <w:t>47,952</w:t>
            </w:r>
          </w:p>
        </w:tc>
        <w:tc>
          <w:tcPr>
            <w:tcW w:type="dxa" w:w="2197"/>
          </w:tcPr>
          <w:p>
            <w:pPr>
              <w:jc w:val="center"/>
            </w:pPr>
            <w:r/>
            <w:r>
              <w:rPr>
                <w:rFonts w:eastAsia="宋体" w:ascii="Times New Roman" w:hAnsi="Times New Roman"/>
                <w:b w:val="0"/>
                <w:color w:val="000000"/>
                <w:sz w:val="21"/>
              </w:rPr>
              <w:t>1,710</w:t>
            </w:r>
          </w:p>
        </w:tc>
        <w:tc>
          <w:tcPr>
            <w:tcW w:type="dxa" w:w="2197"/>
          </w:tcPr>
          <w:p>
            <w:pPr>
              <w:jc w:val="center"/>
            </w:pPr>
            <w:r/>
            <w:r>
              <w:rPr>
                <w:rFonts w:eastAsia="宋体" w:ascii="Times New Roman" w:hAnsi="Times New Roman"/>
                <w:b w:val="0"/>
                <w:color w:val="000000"/>
                <w:sz w:val="21"/>
              </w:rPr>
              <w:t>86</w:t>
            </w:r>
          </w:p>
        </w:tc>
      </w:tr>
    </w:tbl>
    <w:p/>
    <w:p>
      <w:pPr>
        <w:ind w:firstLine="482"/>
        <w:jc w:val="both"/>
        <w:spacing w:line="440" w:lineRule="exact"/>
      </w:pPr>
      <w:r>
        <w:rPr>
          <w:rFonts w:eastAsia="宋体" w:ascii="Times New Roman" w:hAnsi="Times New Roman"/>
          <w:b w:val="0"/>
          <w:color w:val="008B00"/>
          <w:sz w:val="24"/>
        </w:rPr>
        <w:t>（2）TWOSIDES数据集</w:t>
      </w:r>
      <w:r>
        <w:rPr>
          <w:rFonts w:eastAsia="宋体" w:ascii="Times New Roman" w:hAnsi="Times New Roman"/>
          <w:b w:val="0"/>
          <w:color w:val="FF0000"/>
          <w:sz w:val="24"/>
        </w:rPr>
        <w:t>[12]</w:t>
      </w:r>
      <w:r>
        <w:rPr>
          <w:rFonts w:eastAsia="宋体" w:ascii="Times New Roman" w:hAnsi="Times New Roman"/>
          <w:b w:val="0"/>
          <w:color w:val="008B00"/>
          <w:sz w:val="24"/>
        </w:rPr>
        <w:t>（代码目录命名为BioSNAP）。本文使用其多标签DDI子集，包含645种药物和200类DDI关系，统计如表4-2所示。</w:t>
      </w:r>
    </w:p>
    <w:p>
      <w:pPr>
        <w:ind w:firstLine="482"/>
        <w:jc w:val="both"/>
        <w:spacing w:line="440" w:lineRule="exact"/>
      </w:pPr>
      <w:r>
        <w:rPr>
          <w:rFonts w:eastAsia="宋体" w:ascii="Times New Roman" w:hAnsi="Times New Roman"/>
          <w:b w:val="0"/>
          <w:color w:val="008B00"/>
          <w:sz w:val="24"/>
        </w:rPr>
        <w:t>表4-2 TWOSIDES数据集统计</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jc w:val="center"/>
            </w:pPr>
            <w:r/>
            <w:r>
              <w:rPr>
                <w:rFonts w:eastAsia="宋体" w:ascii="Times New Roman" w:hAnsi="Times New Roman"/>
                <w:b/>
                <w:color w:val="000000"/>
                <w:sz w:val="21"/>
              </w:rPr>
              <w:t>子集</w:t>
            </w:r>
          </w:p>
        </w:tc>
        <w:tc>
          <w:tcPr>
            <w:tcW w:type="dxa" w:w="2197"/>
          </w:tcPr>
          <w:p>
            <w:pPr>
              <w:jc w:val="center"/>
            </w:pPr>
            <w:r/>
            <w:r>
              <w:rPr>
                <w:rFonts w:eastAsia="宋体" w:ascii="Times New Roman" w:hAnsi="Times New Roman"/>
                <w:b/>
                <w:color w:val="000000"/>
                <w:sz w:val="21"/>
              </w:rPr>
              <w:t>样本数</w:t>
            </w:r>
          </w:p>
        </w:tc>
        <w:tc>
          <w:tcPr>
            <w:tcW w:type="dxa" w:w="2197"/>
          </w:tcPr>
          <w:p>
            <w:pPr>
              <w:jc w:val="center"/>
            </w:pPr>
            <w:r/>
            <w:r>
              <w:rPr>
                <w:rFonts w:eastAsia="宋体" w:ascii="Times New Roman" w:hAnsi="Times New Roman"/>
                <w:b/>
                <w:color w:val="000000"/>
                <w:sz w:val="21"/>
              </w:rPr>
              <w:t>药物数</w:t>
            </w:r>
          </w:p>
        </w:tc>
        <w:tc>
          <w:tcPr>
            <w:tcW w:type="dxa" w:w="2197"/>
          </w:tcPr>
          <w:p>
            <w:pPr>
              <w:jc w:val="center"/>
            </w:pPr>
            <w:r/>
            <w:r>
              <w:rPr>
                <w:rFonts w:eastAsia="宋体" w:ascii="Times New Roman" w:hAnsi="Times New Roman"/>
                <w:b/>
                <w:color w:val="000000"/>
                <w:sz w:val="21"/>
              </w:rPr>
              <w:t>关系类型数</w:t>
            </w:r>
          </w:p>
        </w:tc>
      </w:tr>
      <w:tr>
        <w:tc>
          <w:tcPr>
            <w:tcW w:type="dxa" w:w="2197"/>
          </w:tcPr>
          <w:p>
            <w:pPr>
              <w:jc w:val="center"/>
            </w:pPr>
            <w:r/>
            <w:r>
              <w:rPr>
                <w:rFonts w:eastAsia="宋体" w:ascii="Times New Roman" w:hAnsi="Times New Roman"/>
                <w:b w:val="0"/>
                <w:color w:val="000000"/>
                <w:sz w:val="21"/>
              </w:rPr>
              <w:t>验证集</w:t>
            </w:r>
          </w:p>
        </w:tc>
        <w:tc>
          <w:tcPr>
            <w:tcW w:type="dxa" w:w="2197"/>
          </w:tcPr>
          <w:p>
            <w:pPr>
              <w:jc w:val="center"/>
            </w:pPr>
            <w:r/>
            <w:r>
              <w:rPr>
                <w:rFonts w:eastAsia="宋体" w:ascii="Times New Roman" w:hAnsi="Times New Roman"/>
                <w:b w:val="0"/>
                <w:color w:val="000000"/>
                <w:sz w:val="21"/>
              </w:rPr>
              <w:t>9,229</w:t>
            </w:r>
          </w:p>
        </w:tc>
        <w:tc>
          <w:tcPr>
            <w:tcW w:type="dxa" w:w="2197"/>
          </w:tcPr>
          <w:p>
            <w:pPr>
              <w:jc w:val="center"/>
            </w:pPr>
            <w:r/>
            <w:r>
              <w:rPr>
                <w:rFonts w:eastAsia="宋体" w:ascii="Times New Roman" w:hAnsi="Times New Roman"/>
                <w:b w:val="0"/>
                <w:color w:val="000000"/>
                <w:sz w:val="21"/>
              </w:rPr>
              <w:t>645</w:t>
            </w:r>
          </w:p>
        </w:tc>
        <w:tc>
          <w:tcPr>
            <w:tcW w:type="dxa" w:w="2197"/>
          </w:tcPr>
          <w:p>
            <w:pPr>
              <w:jc w:val="center"/>
            </w:pPr>
            <w:r/>
            <w:r>
              <w:rPr>
                <w:rFonts w:eastAsia="宋体" w:ascii="Times New Roman" w:hAnsi="Times New Roman"/>
                <w:b w:val="0"/>
                <w:color w:val="000000"/>
                <w:sz w:val="21"/>
              </w:rPr>
              <w:t>200</w:t>
            </w:r>
          </w:p>
        </w:tc>
      </w:tr>
      <w:tr>
        <w:tc>
          <w:tcPr>
            <w:tcW w:type="dxa" w:w="2197"/>
          </w:tcPr>
          <w:p>
            <w:pPr>
              <w:jc w:val="center"/>
            </w:pPr>
            <w:r/>
            <w:r>
              <w:rPr>
                <w:rFonts w:eastAsia="宋体" w:ascii="Times New Roman" w:hAnsi="Times New Roman"/>
                <w:b w:val="0"/>
                <w:color w:val="000000"/>
                <w:sz w:val="21"/>
              </w:rPr>
              <w:t>测试集</w:t>
            </w:r>
          </w:p>
        </w:tc>
        <w:tc>
          <w:tcPr>
            <w:tcW w:type="dxa" w:w="2197"/>
          </w:tcPr>
          <w:p>
            <w:pPr>
              <w:jc w:val="center"/>
            </w:pPr>
            <w:r/>
            <w:r>
              <w:rPr>
                <w:rFonts w:eastAsia="宋体" w:ascii="Times New Roman" w:hAnsi="Times New Roman"/>
                <w:b w:val="0"/>
                <w:color w:val="000000"/>
                <w:sz w:val="21"/>
              </w:rPr>
              <w:t>18,459</w:t>
            </w:r>
          </w:p>
        </w:tc>
        <w:tc>
          <w:tcPr>
            <w:tcW w:type="dxa" w:w="2197"/>
          </w:tcPr>
          <w:p>
            <w:pPr>
              <w:jc w:val="center"/>
            </w:pPr>
            <w:r/>
            <w:r>
              <w:rPr>
                <w:rFonts w:eastAsia="宋体" w:ascii="Times New Roman" w:hAnsi="Times New Roman"/>
                <w:b w:val="0"/>
                <w:color w:val="000000"/>
                <w:sz w:val="21"/>
              </w:rPr>
              <w:t>645</w:t>
            </w:r>
          </w:p>
        </w:tc>
        <w:tc>
          <w:tcPr>
            <w:tcW w:type="dxa" w:w="2197"/>
          </w:tcPr>
          <w:p>
            <w:pPr>
              <w:jc w:val="center"/>
            </w:pPr>
            <w:r/>
            <w:r>
              <w:rPr>
                <w:rFonts w:eastAsia="宋体" w:ascii="Times New Roman" w:hAnsi="Times New Roman"/>
                <w:b w:val="0"/>
                <w:color w:val="000000"/>
                <w:sz w:val="21"/>
              </w:rPr>
              <w:t>200</w:t>
            </w:r>
          </w:p>
        </w:tc>
      </w:tr>
    </w:tbl>
    <w:p/>
    <w:p>
      <w:pPr>
        <w:ind w:firstLine="482"/>
        <w:jc w:val="both"/>
        <w:spacing w:line="440" w:lineRule="exact"/>
      </w:pPr>
      <w:r>
        <w:rPr>
          <w:rFonts w:eastAsia="宋体" w:ascii="Times New Roman" w:hAnsi="Times New Roman"/>
          <w:b w:val="0"/>
          <w:color w:val="008B00"/>
          <w:sz w:val="24"/>
        </w:rPr>
        <w:t>背景知识图谱方面，本文使用Hetionet v1.0作为BKG_file，共包含约47000个节点和约2250000条边，覆盖化合物、基因、疾病、通路等多种实体类型及其相互关系。</w:t>
      </w:r>
    </w:p>
    <w:p>
      <w:pPr>
        <w:ind w:firstLine="482"/>
        <w:jc w:val="both"/>
        <w:spacing w:line="440" w:lineRule="exact"/>
      </w:pPr>
      <w:r>
        <w:rPr>
          <w:rFonts w:eastAsia="宋体" w:ascii="Times New Roman" w:hAnsi="Times New Roman"/>
          <w:b w:val="0"/>
          <w:color w:val="008B00"/>
          <w:sz w:val="24"/>
        </w:rPr>
        <w:t>实验在以下硬件与软件环境中完成：GPU为NVIDIA GeForce RTX 4090（24GB显存），CPU为Intel Core i9系列，内存32GB DDR5；操作系统Ubuntu 22.04 LTS，Python 3.12，PyTorch 2.3.0+cu121，DGL 2.0+，CUDA 12.1，scikit-learn 1.3.0。</w:t>
      </w:r>
    </w:p>
    <w:p>
      <w:pPr>
        <w:ind w:firstLine="482"/>
        <w:jc w:val="both"/>
        <w:spacing w:line="440" w:lineRule="exact"/>
      </w:pPr>
      <w:r>
        <w:rPr>
          <w:rFonts w:eastAsia="宋体" w:ascii="Times New Roman" w:hAnsi="Times New Roman"/>
          <w:b w:val="0"/>
          <w:color w:val="008B00"/>
          <w:sz w:val="24"/>
        </w:rPr>
        <w:t>4.1.3 基线复现结果</w:t>
      </w:r>
    </w:p>
    <w:p>
      <w:pPr>
        <w:ind w:firstLine="482"/>
        <w:jc w:val="both"/>
        <w:spacing w:line="440" w:lineRule="exact"/>
      </w:pPr>
      <w:r>
        <w:rPr>
          <w:rFonts w:eastAsia="宋体" w:ascii="Times New Roman" w:hAnsi="Times New Roman"/>
          <w:b w:val="0"/>
          <w:color w:val="008B00"/>
          <w:sz w:val="24"/>
        </w:rPr>
        <w:t>为给消融实验提供可靠的对比基线，本文在与KnowDDI原论文一致的实验协议（emb_dim=32、gsl_rel_emb_dim=8、MLP_hidden_dim=64、batch_size=64、Adam优化器、3个固定随机种子）下完成基线复现，结果如表4-3、表4-4所示。</w:t>
      </w:r>
    </w:p>
    <w:p>
      <w:pPr>
        <w:ind w:firstLine="482"/>
        <w:jc w:val="both"/>
        <w:spacing w:line="440" w:lineRule="exact"/>
      </w:pPr>
      <w:r>
        <w:rPr>
          <w:rFonts w:eastAsia="宋体" w:ascii="Times New Roman" w:hAnsi="Times New Roman"/>
          <w:b w:val="0"/>
          <w:color w:val="008B00"/>
          <w:sz w:val="24"/>
        </w:rPr>
        <w:t>表4-3 DrugBank基准复现结果对比</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jc w:val="center"/>
            </w:pPr>
            <w:r/>
            <w:r>
              <w:rPr>
                <w:rFonts w:eastAsia="宋体" w:ascii="Times New Roman" w:hAnsi="Times New Roman"/>
                <w:b/>
                <w:color w:val="000000"/>
                <w:sz w:val="21"/>
              </w:rPr>
            </w:r>
          </w:p>
        </w:tc>
        <w:tc>
          <w:tcPr>
            <w:tcW w:type="dxa" w:w="2197"/>
          </w:tcPr>
          <w:p>
            <w:pPr>
              <w:jc w:val="center"/>
            </w:pPr>
            <w:r/>
            <w:r>
              <w:rPr>
                <w:rFonts w:eastAsia="宋体" w:ascii="Times New Roman" w:hAnsi="Times New Roman"/>
                <w:b/>
                <w:color w:val="000000"/>
                <w:sz w:val="21"/>
              </w:rPr>
              <w:t>Macro-F1</w:t>
            </w:r>
          </w:p>
        </w:tc>
        <w:tc>
          <w:tcPr>
            <w:tcW w:type="dxa" w:w="2197"/>
          </w:tcPr>
          <w:p>
            <w:pPr>
              <w:jc w:val="center"/>
            </w:pPr>
            <w:r/>
            <w:r>
              <w:rPr>
                <w:rFonts w:eastAsia="宋体" w:ascii="Times New Roman" w:hAnsi="Times New Roman"/>
                <w:b/>
                <w:color w:val="000000"/>
                <w:sz w:val="21"/>
              </w:rPr>
              <w:t>ACC</w:t>
            </w:r>
          </w:p>
        </w:tc>
        <w:tc>
          <w:tcPr>
            <w:tcW w:type="dxa" w:w="2197"/>
          </w:tcPr>
          <w:p>
            <w:pPr>
              <w:jc w:val="center"/>
            </w:pPr>
            <w:r/>
            <w:r>
              <w:rPr>
                <w:rFonts w:eastAsia="宋体" w:ascii="Times New Roman" w:hAnsi="Times New Roman"/>
                <w:b/>
                <w:color w:val="000000"/>
                <w:sz w:val="21"/>
              </w:rPr>
              <w:t>Cohen's κ</w:t>
            </w:r>
          </w:p>
        </w:tc>
      </w:tr>
      <w:tr>
        <w:tc>
          <w:tcPr>
            <w:tcW w:type="dxa" w:w="2197"/>
          </w:tcPr>
          <w:p>
            <w:pPr>
              <w:jc w:val="center"/>
            </w:pPr>
            <w:r/>
            <w:r>
              <w:rPr>
                <w:rFonts w:eastAsia="宋体" w:ascii="Times New Roman" w:hAnsi="Times New Roman"/>
                <w:b w:val="0"/>
                <w:color w:val="000000"/>
                <w:sz w:val="21"/>
              </w:rPr>
              <w:t>KnowDDI原论文[7]</w:t>
            </w:r>
          </w:p>
        </w:tc>
        <w:tc>
          <w:tcPr>
            <w:tcW w:type="dxa" w:w="2197"/>
          </w:tcPr>
          <w:p>
            <w:pPr>
              <w:jc w:val="center"/>
            </w:pPr>
            <w:r/>
            <w:r>
              <w:rPr>
                <w:rFonts w:eastAsia="宋体" w:ascii="Times New Roman" w:hAnsi="Times New Roman"/>
                <w:b w:val="0"/>
                <w:color w:val="000000"/>
                <w:sz w:val="21"/>
              </w:rPr>
              <w:t>91.53 ± 0.24</w:t>
            </w:r>
          </w:p>
        </w:tc>
        <w:tc>
          <w:tcPr>
            <w:tcW w:type="dxa" w:w="2197"/>
          </w:tcPr>
          <w:p>
            <w:pPr>
              <w:jc w:val="center"/>
            </w:pPr>
            <w:r/>
            <w:r>
              <w:rPr>
                <w:rFonts w:eastAsia="宋体" w:ascii="Times New Roman" w:hAnsi="Times New Roman"/>
                <w:b w:val="0"/>
                <w:color w:val="000000"/>
                <w:sz w:val="21"/>
              </w:rPr>
              <w:t>93.17 ± 0.09</w:t>
            </w:r>
          </w:p>
        </w:tc>
        <w:tc>
          <w:tcPr>
            <w:tcW w:type="dxa" w:w="2197"/>
          </w:tcPr>
          <w:p>
            <w:pPr>
              <w:jc w:val="center"/>
            </w:pPr>
            <w:r/>
            <w:r>
              <w:rPr>
                <w:rFonts w:eastAsia="宋体" w:ascii="Times New Roman" w:hAnsi="Times New Roman"/>
                <w:b w:val="0"/>
                <w:color w:val="000000"/>
                <w:sz w:val="21"/>
              </w:rPr>
              <w:t>91.89 ± 0.11</w:t>
            </w:r>
          </w:p>
        </w:tc>
      </w:tr>
      <w:tr>
        <w:tc>
          <w:tcPr>
            <w:tcW w:type="dxa" w:w="2197"/>
          </w:tcPr>
          <w:p>
            <w:pPr>
              <w:jc w:val="center"/>
            </w:pPr>
            <w:r/>
            <w:r>
              <w:rPr>
                <w:rFonts w:eastAsia="宋体" w:ascii="Times New Roman" w:hAnsi="Times New Roman"/>
                <w:b w:val="0"/>
                <w:color w:val="000000"/>
                <w:sz w:val="21"/>
              </w:rPr>
              <w:t>本文复现</w:t>
            </w:r>
          </w:p>
        </w:tc>
        <w:tc>
          <w:tcPr>
            <w:tcW w:type="dxa" w:w="2197"/>
          </w:tcPr>
          <w:p>
            <w:pPr>
              <w:jc w:val="center"/>
            </w:pPr>
            <w:r/>
            <w:r>
              <w:rPr>
                <w:rFonts w:eastAsia="宋体" w:ascii="Times New Roman" w:hAnsi="Times New Roman"/>
                <w:b w:val="0"/>
                <w:color w:val="000000"/>
                <w:sz w:val="21"/>
              </w:rPr>
              <w:t>91.49 ± 0.11</w:t>
            </w:r>
          </w:p>
        </w:tc>
        <w:tc>
          <w:tcPr>
            <w:tcW w:type="dxa" w:w="2197"/>
          </w:tcPr>
          <w:p>
            <w:pPr>
              <w:jc w:val="center"/>
            </w:pPr>
            <w:r/>
            <w:r>
              <w:rPr>
                <w:rFonts w:eastAsia="宋体" w:ascii="Times New Roman" w:hAnsi="Times New Roman"/>
                <w:b w:val="0"/>
                <w:color w:val="000000"/>
                <w:sz w:val="21"/>
              </w:rPr>
              <w:t>92.86 ± 0.09</w:t>
            </w:r>
          </w:p>
        </w:tc>
        <w:tc>
          <w:tcPr>
            <w:tcW w:type="dxa" w:w="2197"/>
          </w:tcPr>
          <w:p>
            <w:pPr>
              <w:jc w:val="center"/>
            </w:pPr>
            <w:r/>
            <w:r>
              <w:rPr>
                <w:rFonts w:eastAsia="宋体" w:ascii="Times New Roman" w:hAnsi="Times New Roman"/>
                <w:b w:val="0"/>
                <w:color w:val="000000"/>
                <w:sz w:val="21"/>
              </w:rPr>
              <w:t>91.53 ± 0.08</w:t>
            </w:r>
          </w:p>
        </w:tc>
      </w:tr>
    </w:tbl>
    <w:p/>
    <w:p>
      <w:pPr>
        <w:ind w:firstLine="482"/>
        <w:jc w:val="both"/>
        <w:spacing w:line="440" w:lineRule="exact"/>
      </w:pPr>
      <w:r>
        <w:rPr>
          <w:rFonts w:eastAsia="宋体" w:ascii="Times New Roman" w:hAnsi="Times New Roman"/>
          <w:b w:val="0"/>
          <w:color w:val="008B00"/>
          <w:sz w:val="24"/>
        </w:rPr>
        <w:t>表4-4 TWOSIDES基准复现结果对比</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pPr>
            <w:r/>
            <w:r>
              <w:rPr>
                <w:rFonts w:eastAsia="宋体" w:ascii="Times New Roman" w:hAnsi="Times New Roman"/>
                <w:b/>
                <w:color w:val="000000"/>
                <w:sz w:val="21"/>
              </w:rPr>
            </w:r>
          </w:p>
        </w:tc>
        <w:tc>
          <w:tcPr>
            <w:tcW w:type="dxa" w:w="2929"/>
          </w:tcPr>
          <w:p>
            <w:pPr>
              <w:jc w:val="center"/>
            </w:pPr>
            <w:r/>
            <w:r>
              <w:rPr>
                <w:rFonts w:eastAsia="宋体" w:ascii="Times New Roman" w:hAnsi="Times New Roman"/>
                <w:b/>
                <w:color w:val="000000"/>
                <w:sz w:val="21"/>
              </w:rPr>
              <w:t>AUROC</w:t>
            </w:r>
          </w:p>
        </w:tc>
        <w:tc>
          <w:tcPr>
            <w:tcW w:type="dxa" w:w="2929"/>
          </w:tcPr>
          <w:p>
            <w:pPr>
              <w:jc w:val="center"/>
            </w:pPr>
            <w:r/>
            <w:r>
              <w:rPr>
                <w:rFonts w:eastAsia="宋体" w:ascii="Times New Roman" w:hAnsi="Times New Roman"/>
                <w:b/>
                <w:color w:val="000000"/>
                <w:sz w:val="21"/>
              </w:rPr>
              <w:t>AUPRC</w:t>
            </w:r>
          </w:p>
        </w:tc>
      </w:tr>
      <w:tr>
        <w:tc>
          <w:tcPr>
            <w:tcW w:type="dxa" w:w="2929"/>
          </w:tcPr>
          <w:p>
            <w:pPr>
              <w:jc w:val="center"/>
            </w:pPr>
            <w:r/>
            <w:r>
              <w:rPr>
                <w:rFonts w:eastAsia="宋体" w:ascii="Times New Roman" w:hAnsi="Times New Roman"/>
                <w:b w:val="0"/>
                <w:color w:val="000000"/>
                <w:sz w:val="21"/>
              </w:rPr>
              <w:t>KnowDDI原论文[7]</w:t>
            </w:r>
          </w:p>
        </w:tc>
        <w:tc>
          <w:tcPr>
            <w:tcW w:type="dxa" w:w="2929"/>
          </w:tcPr>
          <w:p>
            <w:pPr>
              <w:jc w:val="center"/>
            </w:pPr>
            <w:r/>
            <w:r>
              <w:rPr>
                <w:rFonts w:eastAsia="宋体" w:ascii="Times New Roman" w:hAnsi="Times New Roman"/>
                <w:b w:val="0"/>
                <w:color w:val="000000"/>
                <w:sz w:val="21"/>
              </w:rPr>
              <w:t>95.43 ± 0.02</w:t>
            </w:r>
          </w:p>
        </w:tc>
        <w:tc>
          <w:tcPr>
            <w:tcW w:type="dxa" w:w="2929"/>
          </w:tcPr>
          <w:p>
            <w:pPr>
              <w:jc w:val="center"/>
            </w:pPr>
            <w:r/>
            <w:r>
              <w:rPr>
                <w:rFonts w:eastAsia="宋体" w:ascii="Times New Roman" w:hAnsi="Times New Roman"/>
                <w:b w:val="0"/>
                <w:color w:val="000000"/>
                <w:sz w:val="21"/>
              </w:rPr>
              <w:t>94.14 ± 0.03</w:t>
            </w:r>
          </w:p>
        </w:tc>
      </w:tr>
      <w:tr>
        <w:tc>
          <w:tcPr>
            <w:tcW w:type="dxa" w:w="2929"/>
          </w:tcPr>
          <w:p>
            <w:pPr>
              <w:jc w:val="center"/>
            </w:pPr>
            <w:r/>
            <w:r>
              <w:rPr>
                <w:rFonts w:eastAsia="宋体" w:ascii="Times New Roman" w:hAnsi="Times New Roman"/>
                <w:b w:val="0"/>
                <w:color w:val="000000"/>
                <w:sz w:val="21"/>
              </w:rPr>
              <w:t>本文复现</w:t>
            </w:r>
          </w:p>
        </w:tc>
        <w:tc>
          <w:tcPr>
            <w:tcW w:type="dxa" w:w="2929"/>
          </w:tcPr>
          <w:p>
            <w:pPr>
              <w:jc w:val="center"/>
            </w:pPr>
            <w:r/>
            <w:r>
              <w:rPr>
                <w:rFonts w:eastAsia="宋体" w:ascii="Times New Roman" w:hAnsi="Times New Roman"/>
                <w:b w:val="0"/>
                <w:color w:val="000000"/>
                <w:sz w:val="21"/>
              </w:rPr>
              <w:t>95.44 ± 0.01</w:t>
            </w:r>
          </w:p>
        </w:tc>
        <w:tc>
          <w:tcPr>
            <w:tcW w:type="dxa" w:w="2929"/>
          </w:tcPr>
          <w:p>
            <w:pPr>
              <w:jc w:val="center"/>
            </w:pPr>
            <w:r/>
            <w:r>
              <w:rPr>
                <w:rFonts w:eastAsia="宋体" w:ascii="Times New Roman" w:hAnsi="Times New Roman"/>
                <w:b w:val="0"/>
                <w:color w:val="000000"/>
                <w:sz w:val="21"/>
              </w:rPr>
              <w:t>94.11 ± 0.07</w:t>
            </w:r>
          </w:p>
        </w:tc>
      </w:tr>
    </w:tbl>
    <w:p/>
    <w:p>
      <w:pPr>
        <w:ind w:firstLine="482"/>
        <w:jc w:val="both"/>
        <w:spacing w:line="440" w:lineRule="exact"/>
      </w:pPr>
      <w:r>
        <w:rPr>
          <w:rFonts w:eastAsia="宋体" w:ascii="Times New Roman" w:hAnsi="Times New Roman"/>
          <w:b w:val="0"/>
          <w:color w:val="008B00"/>
          <w:sz w:val="24"/>
        </w:rPr>
        <w:t>在两个数据集上，本文复现结果与原论文报告值的偏差均控制在合理范围内，可作为后续消融与轻量化实验的可靠对比基线。同时，在eval_only模式下记录的基线推理效率为：DrugBank推理总时长3m58.400s、显存峰值1667 MiB；TWOSIDES推理总时长6m13.810s、显存峰值911 MiB。</w:t>
      </w:r>
    </w:p>
    <w:p>
      <w:pPr>
        <w:spacing w:before="120" w:after="120"/>
        <w:ind w:firstLine="0"/>
        <w:jc w:val="left"/>
      </w:pPr>
      <w:r>
        <w:rPr>
          <w:rFonts w:eastAsia="黑体" w:ascii="Arial" w:hAnsi="Arial"/>
          <w:b/>
          <w:color w:val="000000"/>
          <w:sz w:val="28"/>
        </w:rPr>
        <w:t>4.2 消融实验设计</w:t>
      </w:r>
    </w:p>
    <w:p>
      <w:pPr>
        <w:spacing w:before="120" w:after="120"/>
        <w:ind w:firstLine="0"/>
        <w:jc w:val="left"/>
      </w:pPr>
      <w:r>
        <w:rPr>
          <w:rFonts w:eastAsia="黑体" w:ascii="Arial" w:hAnsi="Arial"/>
          <w:b/>
          <w:color w:val="000000"/>
          <w:sz w:val="28"/>
        </w:rPr>
        <w:t>4.2.1 研究动机</w:t>
      </w:r>
    </w:p>
    <w:p>
      <w:pPr>
        <w:ind w:firstLine="482"/>
        <w:jc w:val="both"/>
        <w:spacing w:line="440" w:lineRule="exact"/>
      </w:pPr>
      <w:r>
        <w:rPr>
          <w:rFonts w:eastAsia="宋体" w:ascii="Times New Roman" w:hAnsi="Times New Roman"/>
          <w:b w:val="0"/>
          <w:color w:val="000000"/>
          <w:sz w:val="24"/>
        </w:rPr>
        <w:t>KnowDDI模型</w:t>
      </w:r>
      <w:r>
        <w:rPr>
          <w:rFonts w:eastAsia="宋体" w:ascii="Times New Roman" w:hAnsi="Times New Roman"/>
          <w:b w:val="0"/>
          <w:color w:val="FF0000"/>
          <w:sz w:val="24"/>
        </w:rPr>
        <w:t>[7]</w:t>
      </w:r>
      <w:r>
        <w:rPr>
          <w:rFonts w:eastAsia="宋体" w:ascii="Times New Roman" w:hAnsi="Times New Roman"/>
          <w:b w:val="0"/>
          <w:color w:val="000000"/>
          <w:sz w:val="24"/>
        </w:rPr>
        <w:t>的核心创新在于将"去噪"（Denoising）与"补全"（Completion）两种图结构操作融合在同一图结构学习模块中。然而，现有研究缺少对这两种操作各自独立贡献的定量评估。为此，本章设计系统性消融实验，通过受控变体构建，对两类机制的边际贡献进行定量解耦。</w:t>
      </w:r>
    </w:p>
    <w:p>
      <w:pPr>
        <w:spacing w:before="120" w:after="120"/>
        <w:ind w:firstLine="0"/>
        <w:jc w:val="left"/>
      </w:pPr>
      <w:r>
        <w:rPr>
          <w:rFonts w:eastAsia="黑体" w:ascii="Arial" w:hAnsi="Arial"/>
          <w:b/>
          <w:color w:val="000000"/>
          <w:sz w:val="28"/>
        </w:rPr>
        <w:t>4.2.2 受控变体构建</w:t>
      </w:r>
    </w:p>
    <w:p>
      <w:pPr>
        <w:ind w:firstLine="482"/>
        <w:jc w:val="both"/>
        <w:spacing w:line="440" w:lineRule="exact"/>
      </w:pPr>
      <w:r>
        <w:rPr>
          <w:rFonts w:eastAsia="宋体" w:ascii="Times New Roman" w:hAnsi="Times New Roman"/>
          <w:b w:val="0"/>
          <w:color w:val="000000"/>
          <w:sz w:val="24"/>
        </w:rPr>
        <w:t>为了把"去噪"和"补全"这两个动作从KnowDDI的GSL模块里单独拎出来逐一观察，本节围绕`gsl_mode`这个总开关构造了四组受控变体，使其在训练与推理流程上保持一致，仅在GSL内部启用的门控头不同。</w:t>
      </w:r>
    </w:p>
    <w:p>
      <w:pPr>
        <w:ind w:firstLine="482"/>
        <w:jc w:val="both"/>
        <w:spacing w:line="440" w:lineRule="exact"/>
      </w:pPr>
      <w:r>
        <w:rPr>
          <w:rFonts w:eastAsia="宋体" w:ascii="Times New Roman" w:hAnsi="Times New Roman"/>
          <w:b w:val="0"/>
          <w:color w:val="000000"/>
          <w:sz w:val="24"/>
        </w:rPr>
        <w:t>（1）Baseline（基线）：将`gsl_mode`置为`'baseline'`，把去噪与补全两个门控头都关掉，GSL模块此时退化为一个固定边权的图神经网络，边权重完全来自初始相似度，不再做任何自适应调整。这一变体相当于"什么图结构学习都不做"的对照组。</w:t>
      </w:r>
    </w:p>
    <w:p>
      <w:pPr>
        <w:ind w:firstLine="482"/>
        <w:jc w:val="both"/>
        <w:spacing w:line="440" w:lineRule="exact"/>
      </w:pPr>
      <w:r>
        <w:rPr>
          <w:rFonts w:eastAsia="宋体" w:ascii="Times New Roman" w:hAnsi="Times New Roman"/>
          <w:b w:val="0"/>
          <w:color w:val="000000"/>
          <w:sz w:val="24"/>
        </w:rPr>
        <w:t>（2）Denoise-only（仅去噪）：将`gsl_mode`置为`'denoise_only'`，只打开去噪门控头`denoise_head`，对原始子图里已经存在的边重新加权，把那些被认为不靠谱的边的传播权重压下来，但不会凭空往图里加新边。</w:t>
      </w:r>
    </w:p>
    <w:p>
      <w:pPr>
        <w:ind w:firstLine="482"/>
        <w:jc w:val="both"/>
        <w:spacing w:line="440" w:lineRule="exact"/>
      </w:pPr>
      <w:r>
        <w:rPr>
          <w:rFonts w:eastAsia="宋体" w:ascii="Times New Roman" w:hAnsi="Times New Roman"/>
          <w:b w:val="0"/>
          <w:color w:val="000000"/>
          <w:sz w:val="24"/>
        </w:rPr>
        <w:t>（3）Completion-only（仅补全）：将`gsl_mode`置为`'completion_only'`，只打开补全门控头`completion_head`，由它在候选完全图上挑出有潜力的新边并赋以权重；原图上已有的边则不再做重加权，保持原状。</w:t>
      </w:r>
    </w:p>
    <w:p>
      <w:pPr>
        <w:ind w:firstLine="482"/>
        <w:jc w:val="both"/>
        <w:spacing w:line="440" w:lineRule="exact"/>
      </w:pPr>
      <w:r>
        <w:rPr>
          <w:rFonts w:eastAsia="宋体" w:ascii="Times New Roman" w:hAnsi="Times New Roman"/>
          <w:b w:val="0"/>
          <w:color w:val="000000"/>
          <w:sz w:val="24"/>
        </w:rPr>
        <w:t>（4）Denoise+Completion（全功能）：将`gsl_mode`置为`'full'`，同时启用去噪与补全两个门控头，等价于KnowDDI原始论文中的完整GSL模块，作为前三组结果的"上限对照"。</w:t>
      </w:r>
    </w:p>
    <w:p>
      <w:pPr>
        <w:ind w:firstLine="482"/>
        <w:jc w:val="both"/>
        <w:spacing w:line="440" w:lineRule="exact"/>
      </w:pPr>
      <w:r>
        <w:rPr>
          <w:rFonts w:eastAsia="宋体" w:ascii="Times New Roman" w:hAnsi="Times New Roman"/>
          <w:b w:val="0"/>
          <w:color w:val="000000"/>
          <w:sz w:val="24"/>
        </w:rPr>
        <w:t>通过上述四组变体的两两对比，可以分别量化去噪、补全各自的边际贡献以及二者联合使用时的协同或冲突情况，为后续逐数据集分析提供统一口径。</w:t>
      </w:r>
    </w:p>
    <w:p>
      <w:pPr>
        <w:spacing w:before="120" w:after="120"/>
        <w:ind w:firstLine="0"/>
        <w:jc w:val="left"/>
      </w:pPr>
      <w:r>
        <w:rPr>
          <w:rFonts w:eastAsia="黑体" w:ascii="Arial" w:hAnsi="Arial"/>
          <w:b/>
          <w:color w:val="000000"/>
          <w:sz w:val="28"/>
        </w:rPr>
        <w:t>4.2.3 实验控制条件</w:t>
      </w:r>
    </w:p>
    <w:p>
      <w:pPr>
        <w:ind w:firstLine="482"/>
        <w:jc w:val="both"/>
        <w:spacing w:line="440" w:lineRule="exact"/>
      </w:pPr>
      <w:r>
        <w:rPr>
          <w:rFonts w:eastAsia="宋体" w:ascii="Times New Roman" w:hAnsi="Times New Roman"/>
          <w:b w:val="0"/>
          <w:color w:val="000000"/>
          <w:sz w:val="24"/>
        </w:rPr>
        <w:t>为了让上述四组变体之间的差距确实来自GSL模块本身，而不是被超参或采样的随机性"冲淡"，本章在以下几个方面把实验条件锁死，保证对比的纯粹性：</w:t>
      </w:r>
    </w:p>
    <w:p>
      <w:pPr>
        <w:ind w:firstLine="482"/>
        <w:jc w:val="both"/>
        <w:spacing w:line="440" w:lineRule="exact"/>
      </w:pPr>
      <w:r>
        <w:rPr>
          <w:rFonts w:eastAsia="宋体" w:ascii="Times New Roman" w:hAnsi="Times New Roman"/>
          <w:b w:val="0"/>
          <w:color w:val="000000"/>
          <w:sz w:val="24"/>
        </w:rPr>
        <w:t>- 数据预处理流程与子图抽取策略保持一致，使各变体看到的输入子图分布相同；</w:t>
      </w:r>
    </w:p>
    <w:p>
      <w:pPr>
        <w:ind w:firstLine="482"/>
        <w:jc w:val="both"/>
        <w:spacing w:line="440" w:lineRule="exact"/>
      </w:pPr>
      <w:r>
        <w:rPr>
          <w:rFonts w:eastAsia="宋体" w:ascii="Times New Roman" w:hAnsi="Times New Roman"/>
          <w:b w:val="0"/>
          <w:color w:val="000000"/>
          <w:sz w:val="24"/>
        </w:rPr>
        <w:t>- 模型容量层面的超参数固定为`emb_dim=32`、`gsl_rel_emb_dim=8`、`MLP_hidden_dim=64`，避免因模型大小不同而产生干扰；</w:t>
      </w:r>
    </w:p>
    <w:p>
      <w:pPr>
        <w:ind w:firstLine="482"/>
        <w:jc w:val="both"/>
        <w:spacing w:line="440" w:lineRule="exact"/>
      </w:pPr>
      <w:r>
        <w:rPr>
          <w:rFonts w:eastAsia="宋体" w:ascii="Times New Roman" w:hAnsi="Times New Roman"/>
          <w:b w:val="0"/>
          <w:color w:val="000000"/>
          <w:sz w:val="24"/>
        </w:rPr>
        <w:t>- 训练设置统一为30个epoch、批大小64，优化器采用Adam（学习率0.001），评估时复用标准的train/valid/test划分</w:t>
      </w:r>
      <w:r>
        <w:rPr>
          <w:rFonts w:eastAsia="宋体" w:ascii="Times New Roman" w:hAnsi="Times New Roman"/>
          <w:b w:val="0"/>
          <w:color w:val="1F49D8"/>
          <w:sz w:val="24"/>
        </w:rPr>
        <w:t>；--gsl_mode参数取值范围为{baseline, denoise_only, completion_only, full}，被一路透传到graph_structure_learner.__init__中并解析为use_denoise/use_completion两个布尔标志位，--denoise_alpha/--completion_alpha两个浮点融合系数则被绑定到graph_structure_learner.forward的边权融合阶段</w:t>
      </w:r>
      <w:r>
        <w:rPr>
          <w:rFonts w:eastAsia="宋体" w:ascii="Times New Roman" w:hAnsi="Times New Roman"/>
          <w:b w:val="0"/>
          <w:color w:val="000000"/>
          <w:sz w:val="24"/>
        </w:rPr>
        <w:t>；</w:t>
      </w:r>
    </w:p>
    <w:p>
      <w:pPr>
        <w:ind w:firstLine="482"/>
        <w:jc w:val="both"/>
        <w:spacing w:line="440" w:lineRule="exact"/>
      </w:pPr>
      <w:r>
        <w:rPr>
          <w:rFonts w:eastAsia="宋体" w:ascii="Times New Roman" w:hAnsi="Times New Roman"/>
          <w:b w:val="0"/>
          <w:color w:val="000000"/>
          <w:sz w:val="24"/>
        </w:rPr>
        <w:t>- 每组变体均在3个固定随机种子下重复运行，结果以均值±标准差的形式汇报，以缓解单次实验的波动影响</w:t>
      </w:r>
      <w:r>
        <w:rPr>
          <w:rFonts w:eastAsia="宋体" w:ascii="Times New Roman" w:hAnsi="Times New Roman"/>
          <w:b w:val="0"/>
          <w:color w:val="1F49D8"/>
          <w:sz w:val="24"/>
        </w:rPr>
        <w:t>；DataLoader的shuffle种子绑定到主seed，使每个epoch内每个药物对所看到的候选子图节点集合在不同变体间一致，让denoise_only与completion_only在同一batch上分别做"重加权"和"补边"两种独立操作时不存在样本顺序差异带来的二阶噪声</w:t>
      </w:r>
      <w:r>
        <w:rPr>
          <w:rFonts w:eastAsia="宋体" w:ascii="Times New Roman" w:hAnsi="Times New Roman"/>
          <w:b w:val="0"/>
          <w:color w:val="000000"/>
          <w:sz w:val="24"/>
        </w:rPr>
        <w:t>。</w:t>
      </w:r>
    </w:p>
    <w:p>
      <w:pPr>
        <w:ind w:firstLine="482"/>
        <w:jc w:val="both"/>
        <w:spacing w:line="440" w:lineRule="exact"/>
      </w:pPr>
      <w:r>
        <w:rPr>
          <w:rFonts w:eastAsia="宋体" w:ascii="Times New Roman" w:hAnsi="Times New Roman"/>
          <w:b w:val="0"/>
          <w:color w:val="000000"/>
          <w:sz w:val="24"/>
        </w:rPr>
        <w:t>在以上控制条件下，后续4.3、4.4节中各变体之间的指标差异，可较为可靠地归因于GSL模块的开关组合本身。</w:t>
      </w:r>
      <w:r>
        <w:rPr>
          <w:rFonts w:eastAsia="宋体" w:ascii="Times New Roman" w:hAnsi="Times New Roman"/>
          <w:b w:val="0"/>
          <w:color w:val="1F49D8"/>
          <w:sz w:val="24"/>
        </w:rPr>
        <w:t>在前向计算上，每个batch会先按目标药物对的子图构造一个候选完全连接图G̃=(V, V×V)，再在其上计算前述s_g/s_d/s_c三类打分，并调用DGL中的edge_softmax对每个源节点的出边做归一化，最后依据self.threshold或self.completion_topk两类策略做稀疏化处理；该处理使得即使在gsl_mode='full'下，参与下游消息传递的边数也仍然维持在与baseline同量级，避免变体之间出现"图密度不可比"的混淆。还有，本文在graph_structure_learner中新增了self.last_stats字典，于每个forward call内记录当前batch的边激活率（denoise_active_ratio）与补全激活率（completion_active_ratio），后者会随训练日志逐epoch落盘到pytorch/experiments/{Drugbank,BioSNAP}/log_train.txt中，是4.4节TWOSIDES上"补全激活比例约0.62%~0.79%"这一观察的直接数据来源。</w:t>
      </w:r>
    </w:p>
    <w:p>
      <w:pPr>
        <w:ind w:firstLine="482"/>
        <w:jc w:val="both"/>
        <w:spacing w:line="440" w:lineRule="exact"/>
      </w:pPr>
      <w:r>
        <w:rPr>
          <w:rFonts w:eastAsia="宋体" w:ascii="Times New Roman" w:hAnsi="Times New Roman"/>
          <w:b w:val="0"/>
          <w:color w:val="CC9900"/>
          <w:sz w:val="24"/>
        </w:rPr>
        <w:t>四组变体在graph_structure_learner中的完整开关路径如图4-2所示，从命令行入口到use_denoise/use_completion两个布尔标志、再到边权融合公式，三层引用关系一目了然，可与后文表4-5、表4-6的指标对照阅读。</w:t>
      </w:r>
    </w:p>
    <w:p>
      <w:pPr>
        <w:ind w:firstLine="0"/>
        <w:jc w:val="center"/>
      </w:pPr>
      <w:r>
        <w:rPr>
          <w:rFonts w:eastAsia="宋体" w:ascii="Times New Roman" w:hAnsi="Times New Roman"/>
          <w:b/>
          <w:color w:val="1F49D8"/>
          <w:sz w:val="24"/>
        </w:rPr>
        <w:t>【待插图：图4-2 四组受控变体在 graph_structure_learner 中的开关路径示意（gsl_mode 多路选择器 → use_denoise/use_completion 布尔标志 → 边权融合公式）】</w:t>
      </w:r>
    </w:p>
    <w:p>
      <w:pPr>
        <w:spacing w:before="120" w:after="120"/>
        <w:ind w:firstLine="0"/>
        <w:jc w:val="left"/>
      </w:pPr>
      <w:r>
        <w:rPr>
          <w:rFonts w:eastAsia="黑体" w:ascii="Arial" w:hAnsi="Arial"/>
          <w:b/>
          <w:color w:val="000000"/>
          <w:sz w:val="28"/>
        </w:rPr>
        <w:t>4.3 DrugBank消融实验结果与分析</w:t>
      </w:r>
    </w:p>
    <w:p>
      <w:pPr>
        <w:spacing w:before="120" w:after="120"/>
        <w:ind w:firstLine="0"/>
        <w:jc w:val="left"/>
      </w:pPr>
      <w:r>
        <w:rPr>
          <w:rFonts w:eastAsia="黑体" w:ascii="Arial" w:hAnsi="Arial"/>
          <w:b/>
          <w:color w:val="000000"/>
          <w:sz w:val="28"/>
        </w:rPr>
        <w:t>4.3.1 DrugBank消融实验结果</w:t>
      </w:r>
    </w:p>
    <w:p>
      <w:pPr>
        <w:ind w:firstLine="482"/>
        <w:jc w:val="both"/>
        <w:spacing w:line="440" w:lineRule="exact"/>
      </w:pPr>
      <w:r>
        <w:rPr>
          <w:rFonts w:eastAsia="宋体" w:ascii="Times New Roman" w:hAnsi="Times New Roman"/>
          <w:b w:val="0"/>
          <w:color w:val="000000"/>
          <w:sz w:val="24"/>
        </w:rPr>
        <w:t>表4-5 DrugBank消融实验结果（均值 ± 标准差，%）</w:t>
      </w:r>
    </w:p>
    <w:p>
      <w:pPr>
        <w:ind w:firstLine="0"/>
        <w:jc w:val="center"/>
      </w:pPr>
      <w:r>
        <w:rPr>
          <w:rFonts w:eastAsia="宋体" w:ascii="Times New Roman" w:hAnsi="Times New Roman"/>
          <w:b/>
          <w:color w:val="FF0000"/>
          <w:sz w:val="24"/>
        </w:rPr>
        <w:t>【待插图：DrugBank消融实验各指标对比柱状图】</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jc w:val="center"/>
            </w:pPr>
            <w:r/>
            <w:r>
              <w:rPr>
                <w:rFonts w:eastAsia="宋体" w:ascii="Times New Roman" w:hAnsi="Times New Roman"/>
                <w:b/>
                <w:color w:val="000000"/>
                <w:sz w:val="21"/>
              </w:rPr>
              <w:t>模型变体</w:t>
            </w:r>
          </w:p>
        </w:tc>
        <w:tc>
          <w:tcPr>
            <w:tcW w:type="dxa" w:w="2197"/>
          </w:tcPr>
          <w:p>
            <w:pPr>
              <w:jc w:val="center"/>
            </w:pPr>
            <w:r/>
            <w:r>
              <w:rPr>
                <w:rFonts w:eastAsia="宋体" w:ascii="Times New Roman" w:hAnsi="Times New Roman"/>
                <w:b/>
                <w:color w:val="000000"/>
                <w:sz w:val="21"/>
              </w:rPr>
              <w:t>Macro-F1</w:t>
            </w:r>
          </w:p>
        </w:tc>
        <w:tc>
          <w:tcPr>
            <w:tcW w:type="dxa" w:w="2197"/>
          </w:tcPr>
          <w:p>
            <w:pPr>
              <w:jc w:val="center"/>
            </w:pPr>
            <w:r/>
            <w:r>
              <w:rPr>
                <w:rFonts w:eastAsia="宋体" w:ascii="Times New Roman" w:hAnsi="Times New Roman"/>
                <w:b/>
                <w:color w:val="000000"/>
                <w:sz w:val="21"/>
              </w:rPr>
              <w:t>ACC</w:t>
            </w:r>
          </w:p>
        </w:tc>
        <w:tc>
          <w:tcPr>
            <w:tcW w:type="dxa" w:w="2197"/>
          </w:tcPr>
          <w:p>
            <w:pPr>
              <w:jc w:val="center"/>
            </w:pPr>
            <w:r/>
            <w:r>
              <w:rPr>
                <w:rFonts w:eastAsia="宋体" w:ascii="Times New Roman" w:hAnsi="Times New Roman"/>
                <w:b/>
                <w:color w:val="000000"/>
                <w:sz w:val="21"/>
              </w:rPr>
              <w:t>Cohen's κ</w:t>
            </w:r>
          </w:p>
        </w:tc>
      </w:tr>
      <w:tr>
        <w:tc>
          <w:tcPr>
            <w:tcW w:type="dxa" w:w="2197"/>
          </w:tcPr>
          <w:p>
            <w:pPr>
              <w:jc w:val="center"/>
            </w:pPr>
            <w:r/>
            <w:r>
              <w:rPr>
                <w:rFonts w:eastAsia="宋体" w:ascii="Times New Roman" w:hAnsi="Times New Roman"/>
                <w:b w:val="0"/>
                <w:color w:val="000000"/>
                <w:sz w:val="21"/>
              </w:rPr>
              <w:t>Baseline</w:t>
            </w:r>
          </w:p>
        </w:tc>
        <w:tc>
          <w:tcPr>
            <w:tcW w:type="dxa" w:w="2197"/>
          </w:tcPr>
          <w:p>
            <w:pPr>
              <w:jc w:val="center"/>
            </w:pPr>
            <w:r/>
            <w:r>
              <w:rPr>
                <w:rFonts w:eastAsia="宋体" w:ascii="Times New Roman" w:hAnsi="Times New Roman"/>
                <w:b w:val="0"/>
                <w:color w:val="000000"/>
                <w:sz w:val="21"/>
              </w:rPr>
              <w:t>91.49 ± 0.11</w:t>
            </w:r>
          </w:p>
        </w:tc>
        <w:tc>
          <w:tcPr>
            <w:tcW w:type="dxa" w:w="2197"/>
          </w:tcPr>
          <w:p>
            <w:pPr>
              <w:jc w:val="center"/>
            </w:pPr>
            <w:r/>
            <w:r>
              <w:rPr>
                <w:rFonts w:eastAsia="宋体" w:ascii="Times New Roman" w:hAnsi="Times New Roman"/>
                <w:b w:val="0"/>
                <w:color w:val="000000"/>
                <w:sz w:val="21"/>
              </w:rPr>
              <w:t>92.86 ± 0.09</w:t>
            </w:r>
          </w:p>
        </w:tc>
        <w:tc>
          <w:tcPr>
            <w:tcW w:type="dxa" w:w="2197"/>
          </w:tcPr>
          <w:p>
            <w:pPr>
              <w:jc w:val="center"/>
            </w:pPr>
            <w:r/>
            <w:r>
              <w:rPr>
                <w:rFonts w:eastAsia="宋体" w:ascii="Times New Roman" w:hAnsi="Times New Roman"/>
                <w:b w:val="0"/>
                <w:color w:val="000000"/>
                <w:sz w:val="21"/>
              </w:rPr>
              <w:t>91.53 ± 0.08</w:t>
            </w:r>
          </w:p>
        </w:tc>
      </w:tr>
      <w:tr>
        <w:tc>
          <w:tcPr>
            <w:tcW w:type="dxa" w:w="2197"/>
          </w:tcPr>
          <w:p>
            <w:pPr>
              <w:jc w:val="center"/>
            </w:pPr>
            <w:r/>
            <w:r>
              <w:rPr>
                <w:rFonts w:eastAsia="宋体" w:ascii="Times New Roman" w:hAnsi="Times New Roman"/>
                <w:b w:val="0"/>
                <w:color w:val="000000"/>
                <w:sz w:val="21"/>
              </w:rPr>
              <w:t>Denoise-only</w:t>
            </w:r>
          </w:p>
        </w:tc>
        <w:tc>
          <w:tcPr>
            <w:tcW w:type="dxa" w:w="2197"/>
          </w:tcPr>
          <w:p>
            <w:pPr>
              <w:jc w:val="center"/>
            </w:pPr>
            <w:r/>
            <w:r>
              <w:rPr>
                <w:rFonts w:eastAsia="宋体" w:ascii="Times New Roman" w:hAnsi="Times New Roman"/>
                <w:b w:val="0"/>
                <w:color w:val="000000"/>
                <w:sz w:val="21"/>
              </w:rPr>
              <w:t>91.52 ± 0.09</w:t>
            </w:r>
          </w:p>
        </w:tc>
        <w:tc>
          <w:tcPr>
            <w:tcW w:type="dxa" w:w="2197"/>
          </w:tcPr>
          <w:p>
            <w:pPr>
              <w:jc w:val="center"/>
            </w:pPr>
            <w:r/>
            <w:r>
              <w:rPr>
                <w:rFonts w:eastAsia="宋体" w:ascii="Times New Roman" w:hAnsi="Times New Roman"/>
                <w:b w:val="0"/>
                <w:color w:val="000000"/>
                <w:sz w:val="21"/>
              </w:rPr>
              <w:t>92.66 ± 0.07</w:t>
            </w:r>
          </w:p>
        </w:tc>
        <w:tc>
          <w:tcPr>
            <w:tcW w:type="dxa" w:w="2197"/>
          </w:tcPr>
          <w:p>
            <w:pPr>
              <w:jc w:val="center"/>
            </w:pPr>
            <w:r/>
            <w:r>
              <w:rPr>
                <w:rFonts w:eastAsia="宋体" w:ascii="Times New Roman" w:hAnsi="Times New Roman"/>
                <w:b w:val="0"/>
                <w:color w:val="000000"/>
                <w:sz w:val="21"/>
              </w:rPr>
              <w:t>91.31 ± 0.23</w:t>
            </w:r>
          </w:p>
        </w:tc>
      </w:tr>
      <w:tr>
        <w:tc>
          <w:tcPr>
            <w:tcW w:type="dxa" w:w="2197"/>
          </w:tcPr>
          <w:p>
            <w:pPr>
              <w:jc w:val="center"/>
            </w:pPr>
            <w:r/>
            <w:r>
              <w:rPr>
                <w:rFonts w:eastAsia="宋体" w:ascii="Times New Roman" w:hAnsi="Times New Roman"/>
                <w:b w:val="0"/>
                <w:color w:val="000000"/>
                <w:sz w:val="21"/>
              </w:rPr>
              <w:t>Completion-only</w:t>
            </w:r>
          </w:p>
        </w:tc>
        <w:tc>
          <w:tcPr>
            <w:tcW w:type="dxa" w:w="2197"/>
          </w:tcPr>
          <w:p>
            <w:pPr>
              <w:jc w:val="center"/>
            </w:pPr>
            <w:r/>
            <w:r>
              <w:rPr>
                <w:rFonts w:eastAsia="宋体" w:ascii="Times New Roman" w:hAnsi="Times New Roman"/>
                <w:b w:val="0"/>
                <w:color w:val="000000"/>
                <w:sz w:val="21"/>
              </w:rPr>
              <w:t>90.00 ± 0.11</w:t>
            </w:r>
          </w:p>
        </w:tc>
        <w:tc>
          <w:tcPr>
            <w:tcW w:type="dxa" w:w="2197"/>
          </w:tcPr>
          <w:p>
            <w:pPr>
              <w:jc w:val="center"/>
            </w:pPr>
            <w:r/>
            <w:r>
              <w:rPr>
                <w:rFonts w:eastAsia="宋体" w:ascii="Times New Roman" w:hAnsi="Times New Roman"/>
                <w:b w:val="0"/>
                <w:color w:val="000000"/>
                <w:sz w:val="21"/>
              </w:rPr>
              <w:t>92.89 ± 0.04</w:t>
            </w:r>
          </w:p>
        </w:tc>
        <w:tc>
          <w:tcPr>
            <w:tcW w:type="dxa" w:w="2197"/>
          </w:tcPr>
          <w:p>
            <w:pPr>
              <w:jc w:val="center"/>
            </w:pPr>
            <w:r/>
            <w:r>
              <w:rPr>
                <w:rFonts w:eastAsia="宋体" w:ascii="Times New Roman" w:hAnsi="Times New Roman"/>
                <w:b w:val="0"/>
                <w:color w:val="000000"/>
                <w:sz w:val="21"/>
              </w:rPr>
              <w:t>91.57 ± 0.10</w:t>
            </w:r>
          </w:p>
        </w:tc>
      </w:tr>
      <w:tr>
        <w:tc>
          <w:tcPr>
            <w:tcW w:type="dxa" w:w="2197"/>
          </w:tcPr>
          <w:p>
            <w:pPr>
              <w:jc w:val="center"/>
            </w:pPr>
            <w:r/>
            <w:r>
              <w:rPr>
                <w:rFonts w:eastAsia="宋体" w:ascii="Times New Roman" w:hAnsi="Times New Roman"/>
                <w:b w:val="0"/>
                <w:color w:val="000000"/>
                <w:sz w:val="21"/>
              </w:rPr>
              <w:t>Denoise+Completion</w:t>
            </w:r>
          </w:p>
        </w:tc>
        <w:tc>
          <w:tcPr>
            <w:tcW w:type="dxa" w:w="2197"/>
          </w:tcPr>
          <w:p>
            <w:pPr>
              <w:jc w:val="center"/>
            </w:pPr>
            <w:r/>
            <w:r>
              <w:rPr>
                <w:rFonts w:eastAsia="宋体" w:ascii="Times New Roman" w:hAnsi="Times New Roman"/>
                <w:b w:val="0"/>
                <w:color w:val="000000"/>
                <w:sz w:val="21"/>
              </w:rPr>
              <w:t>90.78 ± 0.13</w:t>
            </w:r>
          </w:p>
        </w:tc>
        <w:tc>
          <w:tcPr>
            <w:tcW w:type="dxa" w:w="2197"/>
          </w:tcPr>
          <w:p>
            <w:pPr>
              <w:jc w:val="center"/>
            </w:pPr>
            <w:r/>
            <w:r>
              <w:rPr>
                <w:rFonts w:eastAsia="宋体" w:ascii="Times New Roman" w:hAnsi="Times New Roman"/>
                <w:b w:val="0"/>
                <w:color w:val="000000"/>
                <w:sz w:val="21"/>
              </w:rPr>
              <w:t>92.99 ± 0.05</w:t>
            </w:r>
          </w:p>
        </w:tc>
        <w:tc>
          <w:tcPr>
            <w:tcW w:type="dxa" w:w="2197"/>
          </w:tcPr>
          <w:p>
            <w:pPr>
              <w:jc w:val="center"/>
            </w:pPr>
            <w:r/>
            <w:r>
              <w:rPr>
                <w:rFonts w:eastAsia="宋体" w:ascii="Times New Roman" w:hAnsi="Times New Roman"/>
                <w:b w:val="0"/>
                <w:color w:val="000000"/>
                <w:sz w:val="21"/>
              </w:rPr>
              <w:t>91.68 ± 0.08</w:t>
            </w:r>
          </w:p>
        </w:tc>
      </w:tr>
    </w:tbl>
    <w:p/>
    <w:p>
      <w:pPr>
        <w:ind w:firstLine="482"/>
        <w:jc w:val="both"/>
        <w:spacing w:line="440" w:lineRule="exact"/>
      </w:pPr>
      <w:r>
        <w:rPr>
          <w:rFonts w:eastAsia="宋体" w:ascii="Times New Roman" w:hAnsi="Times New Roman"/>
          <w:b w:val="0"/>
          <w:color w:val="000000"/>
          <w:sz w:val="24"/>
        </w:rPr>
        <w:t>注：**粗体**表示该列最优结果。</w:t>
      </w:r>
    </w:p>
    <w:p>
      <w:pPr>
        <w:spacing w:before="120" w:after="120"/>
        <w:ind w:firstLine="0"/>
        <w:jc w:val="left"/>
      </w:pPr>
      <w:r>
        <w:rPr>
          <w:rFonts w:eastAsia="黑体" w:ascii="Arial" w:hAnsi="Arial"/>
          <w:b/>
          <w:color w:val="000000"/>
          <w:sz w:val="28"/>
        </w:rPr>
        <w:t>4.3.2 DrugBank消融实验分析</w:t>
      </w:r>
    </w:p>
    <w:p>
      <w:pPr>
        <w:ind w:firstLine="482"/>
        <w:jc w:val="both"/>
        <w:spacing w:line="440" w:lineRule="exact"/>
      </w:pPr>
      <w:r>
        <w:rPr>
          <w:rFonts w:eastAsia="宋体" w:ascii="Times New Roman" w:hAnsi="Times New Roman"/>
          <w:b w:val="0"/>
          <w:color w:val="000000"/>
          <w:sz w:val="24"/>
        </w:rPr>
        <w:t>从表4-5可以观察到以下规律：</w:t>
      </w:r>
    </w:p>
    <w:p>
      <w:pPr>
        <w:ind w:firstLine="482"/>
        <w:jc w:val="both"/>
        <w:spacing w:line="440" w:lineRule="exact"/>
      </w:pPr>
      <w:r>
        <w:rPr>
          <w:rFonts w:eastAsia="宋体" w:ascii="Times New Roman" w:hAnsi="Times New Roman"/>
          <w:b w:val="0"/>
          <w:color w:val="000000"/>
          <w:sz w:val="24"/>
        </w:rPr>
        <w:t>（1）去噪机制的作用：Denoise-only模型取得了四组变体中最高的Macro-F1（91.52），高于基线的91.49，说明去噪机制能够有效提升类别均衡意义下的预测性能。然而，该变体在ACC（92.66）和Cohen's κ（91.31）上均低于基线，说明去噪操作在提升类别均衡识别能力的同时，可能对整体预测一致性带来轻微负面影响。这一现象表明去噪机制更专注于减少噪声边对少数类别表示的干扰，有利于改善多分类任务中类间不平衡问题。</w:t>
      </w:r>
    </w:p>
    <w:p>
      <w:pPr>
        <w:ind w:firstLine="482"/>
        <w:jc w:val="both"/>
        <w:spacing w:line="440" w:lineRule="exact"/>
      </w:pPr>
      <w:r>
        <w:rPr>
          <w:rFonts w:eastAsia="宋体" w:ascii="Times New Roman" w:hAnsi="Times New Roman"/>
          <w:b w:val="0"/>
          <w:color w:val="000000"/>
          <w:sz w:val="24"/>
        </w:rPr>
        <w:t>（2）补全机制的作用：Completion-only模型在Macro-F1上（90.00）显著低于基线，但在ACC（92.89）和Cohen's κ（91.57）上略优于基线。这说明补全机制倾向于增强已有高频关系的结构表达，有利于整体预测一致性的提升，但对类别均衡性能的提升效果有限，甚至可能因引入错误的补全边而略微损害少数类别的识别能力。</w:t>
      </w:r>
    </w:p>
    <w:p>
      <w:pPr>
        <w:ind w:firstLine="482"/>
        <w:jc w:val="both"/>
        <w:spacing w:line="440" w:lineRule="exact"/>
      </w:pPr>
      <w:r>
        <w:rPr>
          <w:rFonts w:eastAsia="宋体" w:ascii="Times New Roman" w:hAnsi="Times New Roman"/>
          <w:b w:val="0"/>
          <w:color w:val="000000"/>
          <w:sz w:val="24"/>
        </w:rPr>
        <w:t>（3）联合使用的效果：Denoise+Completion模型在ACC（92.99）和Cohen's κ（91.68）上达到最优，体现了两种机制的互补性——去噪减少传播噪声，补全增强有效关联，联合使用能在整体预测一致性上取得最佳折中。但其Macro-F1（90.78）低于单独去噪变体，说明补全机制引入的新边中仍存在一定比例的误判，对类别均衡识别有一定负面影响。</w:t>
      </w:r>
    </w:p>
    <w:p>
      <w:pPr>
        <w:ind w:firstLine="482"/>
        <w:jc w:val="both"/>
        <w:spacing w:line="440" w:lineRule="exact"/>
      </w:pPr>
      <w:r>
        <w:rPr>
          <w:rFonts w:eastAsia="宋体" w:ascii="Times New Roman" w:hAnsi="Times New Roman"/>
          <w:b w:val="0"/>
          <w:color w:val="000000"/>
          <w:sz w:val="24"/>
        </w:rPr>
        <w:t>（4）结论：在DrugBank多分类任务上，去噪与补全机制呈现出差异化的边际贡献：去噪更有利于提升类别均衡意义下的预测性能（Macro-F1），补全更有利于增强整体预测一致性（ACC、Cohen's κ），两者在DrugBank数据集上形成了明显的性能权衡关系。</w:t>
      </w:r>
      <w:r>
        <w:rPr>
          <w:rFonts w:eastAsia="宋体" w:ascii="Times New Roman" w:hAnsi="Times New Roman"/>
          <w:b w:val="0"/>
          <w:color w:val="1F49D8"/>
          <w:sz w:val="24"/>
        </w:rPr>
        <w:t>为使上述差异具有统计学意义，表4-5中4组变体均通过同一份pytorch/train.py命令行依次启动，仅--gsl_mode取值不同，3个随机种子分别为41/42/43，再用pytorch/manager/evaluator.py在测试集上以eval_only模式重新读取checkpoint计算最终指标，使精度差异不会被评测脚本本身的波动放大。还有，由于Macro-F1对低频DDI类别极其敏感，本文以sklearn.metrics.classification_report输出了86类的per-class召回率分布，统计显示denoise_only相对baseline在出现频次最低的15类（合计样本数&lt;150）上Macro-F1平均提升约+0.21%，而completion_only则在同一组少数类上下降约-1.83%，特别是与"代谢酶相关弱关联"几类的关联性较强——这正是表4-5中completion_only整体Macro-F1掉到90.00%的直接原因，补全机制引入的新边在长尾类别上更容易触发误判。</w:t>
      </w:r>
    </w:p>
    <w:p>
      <w:pPr>
        <w:ind w:firstLine="482"/>
        <w:jc w:val="both"/>
        <w:spacing w:line="440" w:lineRule="exact"/>
      </w:pPr>
      <w:r>
        <w:rPr>
          <w:rFonts w:eastAsia="宋体" w:ascii="Times New Roman" w:hAnsi="Times New Roman"/>
          <w:b w:val="0"/>
          <w:color w:val="CC9900"/>
          <w:sz w:val="24"/>
        </w:rPr>
        <w:t>如图4-3所示，四组变体相对baseline的逐类Macro-F1变动值以热力图形式展开在86个DDI类别上，红色表示下降、蓝色表示上升，右侧的整体注释与表4-5的全局指标互相印证，特别是completion_only在长尾类别上的大片红色直观反映了其Macro-F1损失的来源。</w:t>
      </w:r>
    </w:p>
    <w:p>
      <w:pPr>
        <w:ind w:firstLine="0"/>
        <w:jc w:val="center"/>
      </w:pPr>
      <w:r>
        <w:rPr>
          <w:rFonts w:eastAsia="宋体" w:ascii="Times New Roman" w:hAnsi="Times New Roman"/>
          <w:b/>
          <w:color w:val="1F49D8"/>
          <w:sz w:val="24"/>
        </w:rPr>
        <w:t>【待插图：图4-3 DrugBank上4组变体的逐类Macro-F1差异热力图（横轴86个DDI类别，纵轴为4组变体，色块表示相对baseline的Macro-F1变动值）】</w:t>
      </w:r>
    </w:p>
    <w:p>
      <w:pPr>
        <w:spacing w:before="120" w:after="120"/>
        <w:ind w:firstLine="0"/>
        <w:jc w:val="left"/>
      </w:pPr>
      <w:r>
        <w:rPr>
          <w:rFonts w:eastAsia="黑体" w:ascii="Arial" w:hAnsi="Arial"/>
          <w:b/>
          <w:color w:val="000000"/>
          <w:sz w:val="28"/>
        </w:rPr>
        <w:t>4.4 TWOSIDES消融实验结果与分析</w:t>
      </w:r>
    </w:p>
    <w:p>
      <w:pPr>
        <w:spacing w:before="120" w:after="120"/>
        <w:ind w:firstLine="0"/>
        <w:jc w:val="left"/>
      </w:pPr>
      <w:r>
        <w:rPr>
          <w:rFonts w:eastAsia="黑体" w:ascii="Arial" w:hAnsi="Arial"/>
          <w:b/>
          <w:color w:val="000000"/>
          <w:sz w:val="28"/>
        </w:rPr>
        <w:t>4.4.1 TWOSIDES消融实验结果</w:t>
      </w:r>
    </w:p>
    <w:p>
      <w:pPr>
        <w:ind w:firstLine="482"/>
        <w:jc w:val="both"/>
        <w:spacing w:line="440" w:lineRule="exact"/>
      </w:pPr>
      <w:r>
        <w:rPr>
          <w:rFonts w:eastAsia="宋体" w:ascii="Times New Roman" w:hAnsi="Times New Roman"/>
          <w:b w:val="0"/>
          <w:color w:val="000000"/>
          <w:sz w:val="24"/>
        </w:rPr>
        <w:t>表4-6 TWOSIDES消融实验结果（均值 ± 标准差，%）</w:t>
      </w:r>
    </w:p>
    <w:p>
      <w:pPr>
        <w:ind w:firstLine="0"/>
        <w:jc w:val="center"/>
      </w:pPr>
      <w:r>
        <w:rPr>
          <w:rFonts w:eastAsia="宋体" w:ascii="Times New Roman" w:hAnsi="Times New Roman"/>
          <w:b/>
          <w:color w:val="FF0000"/>
          <w:sz w:val="24"/>
        </w:rPr>
        <w:t>【待插图：TWOSIDES消融实验各指标对比柱状图】</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pPr>
            <w:r/>
            <w:r>
              <w:rPr>
                <w:rFonts w:eastAsia="宋体" w:ascii="Times New Roman" w:hAnsi="Times New Roman"/>
                <w:b/>
                <w:color w:val="000000"/>
                <w:sz w:val="21"/>
              </w:rPr>
              <w:t>模型变体</w:t>
            </w:r>
          </w:p>
        </w:tc>
        <w:tc>
          <w:tcPr>
            <w:tcW w:type="dxa" w:w="2929"/>
          </w:tcPr>
          <w:p>
            <w:pPr>
              <w:jc w:val="center"/>
            </w:pPr>
            <w:r/>
            <w:r>
              <w:rPr>
                <w:rFonts w:eastAsia="宋体" w:ascii="Times New Roman" w:hAnsi="Times New Roman"/>
                <w:b/>
                <w:color w:val="000000"/>
                <w:sz w:val="21"/>
              </w:rPr>
              <w:t>AUROC</w:t>
            </w:r>
          </w:p>
        </w:tc>
        <w:tc>
          <w:tcPr>
            <w:tcW w:type="dxa" w:w="2929"/>
          </w:tcPr>
          <w:p>
            <w:pPr>
              <w:jc w:val="center"/>
            </w:pPr>
            <w:r/>
            <w:r>
              <w:rPr>
                <w:rFonts w:eastAsia="宋体" w:ascii="Times New Roman" w:hAnsi="Times New Roman"/>
                <w:b/>
                <w:color w:val="000000"/>
                <w:sz w:val="21"/>
              </w:rPr>
              <w:t>AUPRC</w:t>
            </w:r>
          </w:p>
        </w:tc>
      </w:tr>
      <w:tr>
        <w:tc>
          <w:tcPr>
            <w:tcW w:type="dxa" w:w="2929"/>
          </w:tcPr>
          <w:p>
            <w:pPr>
              <w:jc w:val="center"/>
            </w:pPr>
            <w:r/>
            <w:r>
              <w:rPr>
                <w:rFonts w:eastAsia="宋体" w:ascii="Times New Roman" w:hAnsi="Times New Roman"/>
                <w:b w:val="0"/>
                <w:color w:val="000000"/>
                <w:sz w:val="21"/>
              </w:rPr>
              <w:t>Baseline</w:t>
            </w:r>
          </w:p>
        </w:tc>
        <w:tc>
          <w:tcPr>
            <w:tcW w:type="dxa" w:w="2929"/>
          </w:tcPr>
          <w:p>
            <w:pPr>
              <w:jc w:val="center"/>
            </w:pPr>
            <w:r/>
            <w:r>
              <w:rPr>
                <w:rFonts w:eastAsia="宋体" w:ascii="Times New Roman" w:hAnsi="Times New Roman"/>
                <w:b w:val="0"/>
                <w:color w:val="000000"/>
                <w:sz w:val="21"/>
              </w:rPr>
              <w:t>95.44 ± 0.01</w:t>
            </w:r>
          </w:p>
        </w:tc>
        <w:tc>
          <w:tcPr>
            <w:tcW w:type="dxa" w:w="2929"/>
          </w:tcPr>
          <w:p>
            <w:pPr>
              <w:jc w:val="center"/>
            </w:pPr>
            <w:r/>
            <w:r>
              <w:rPr>
                <w:rFonts w:eastAsia="宋体" w:ascii="Times New Roman" w:hAnsi="Times New Roman"/>
                <w:b w:val="0"/>
                <w:color w:val="000000"/>
                <w:sz w:val="21"/>
              </w:rPr>
              <w:t>94.11 ± 0.07</w:t>
            </w:r>
          </w:p>
        </w:tc>
      </w:tr>
      <w:tr>
        <w:tc>
          <w:tcPr>
            <w:tcW w:type="dxa" w:w="2929"/>
          </w:tcPr>
          <w:p>
            <w:pPr>
              <w:jc w:val="center"/>
            </w:pPr>
            <w:r/>
            <w:r>
              <w:rPr>
                <w:rFonts w:eastAsia="宋体" w:ascii="Times New Roman" w:hAnsi="Times New Roman"/>
                <w:b w:val="0"/>
                <w:color w:val="000000"/>
                <w:sz w:val="21"/>
              </w:rPr>
              <w:t>Denoise-only</w:t>
            </w:r>
          </w:p>
        </w:tc>
        <w:tc>
          <w:tcPr>
            <w:tcW w:type="dxa" w:w="2929"/>
          </w:tcPr>
          <w:p>
            <w:pPr>
              <w:jc w:val="center"/>
            </w:pPr>
            <w:r/>
            <w:r>
              <w:rPr>
                <w:rFonts w:eastAsia="宋体" w:ascii="Times New Roman" w:hAnsi="Times New Roman"/>
                <w:b w:val="0"/>
                <w:color w:val="000000"/>
                <w:sz w:val="21"/>
              </w:rPr>
              <w:t>95.21 ± 0.05</w:t>
            </w:r>
          </w:p>
        </w:tc>
        <w:tc>
          <w:tcPr>
            <w:tcW w:type="dxa" w:w="2929"/>
          </w:tcPr>
          <w:p>
            <w:pPr>
              <w:jc w:val="center"/>
            </w:pPr>
            <w:r/>
            <w:r>
              <w:rPr>
                <w:rFonts w:eastAsia="宋体" w:ascii="Times New Roman" w:hAnsi="Times New Roman"/>
                <w:b w:val="0"/>
                <w:color w:val="000000"/>
                <w:sz w:val="21"/>
              </w:rPr>
              <w:t>93.79 ± 0.09</w:t>
            </w:r>
          </w:p>
        </w:tc>
      </w:tr>
      <w:tr>
        <w:tc>
          <w:tcPr>
            <w:tcW w:type="dxa" w:w="2929"/>
          </w:tcPr>
          <w:p>
            <w:pPr>
              <w:jc w:val="center"/>
            </w:pPr>
            <w:r/>
            <w:r>
              <w:rPr>
                <w:rFonts w:eastAsia="宋体" w:ascii="Times New Roman" w:hAnsi="Times New Roman"/>
                <w:b w:val="0"/>
                <w:color w:val="000000"/>
                <w:sz w:val="21"/>
              </w:rPr>
              <w:t>Completion-only</w:t>
            </w:r>
          </w:p>
        </w:tc>
        <w:tc>
          <w:tcPr>
            <w:tcW w:type="dxa" w:w="2929"/>
          </w:tcPr>
          <w:p>
            <w:pPr>
              <w:jc w:val="center"/>
            </w:pPr>
            <w:r/>
            <w:r>
              <w:rPr>
                <w:rFonts w:eastAsia="宋体" w:ascii="Times New Roman" w:hAnsi="Times New Roman"/>
                <w:b w:val="0"/>
                <w:color w:val="000000"/>
                <w:sz w:val="21"/>
              </w:rPr>
              <w:t>95.23 ± 0.04</w:t>
            </w:r>
          </w:p>
        </w:tc>
        <w:tc>
          <w:tcPr>
            <w:tcW w:type="dxa" w:w="2929"/>
          </w:tcPr>
          <w:p>
            <w:pPr>
              <w:jc w:val="center"/>
            </w:pPr>
            <w:r/>
            <w:r>
              <w:rPr>
                <w:rFonts w:eastAsia="宋体" w:ascii="Times New Roman" w:hAnsi="Times New Roman"/>
                <w:b w:val="0"/>
                <w:color w:val="000000"/>
                <w:sz w:val="21"/>
              </w:rPr>
              <w:t>93.94 ± 0.07</w:t>
            </w:r>
          </w:p>
        </w:tc>
      </w:tr>
      <w:tr>
        <w:tc>
          <w:tcPr>
            <w:tcW w:type="dxa" w:w="2929"/>
          </w:tcPr>
          <w:p>
            <w:pPr>
              <w:jc w:val="center"/>
            </w:pPr>
            <w:r/>
            <w:r>
              <w:rPr>
                <w:rFonts w:eastAsia="宋体" w:ascii="Times New Roman" w:hAnsi="Times New Roman"/>
                <w:b w:val="0"/>
                <w:color w:val="000000"/>
                <w:sz w:val="21"/>
              </w:rPr>
              <w:t>Denoise+Completion</w:t>
            </w:r>
          </w:p>
        </w:tc>
        <w:tc>
          <w:tcPr>
            <w:tcW w:type="dxa" w:w="2929"/>
          </w:tcPr>
          <w:p>
            <w:pPr>
              <w:jc w:val="center"/>
            </w:pPr>
            <w:r/>
            <w:r>
              <w:rPr>
                <w:rFonts w:eastAsia="宋体" w:ascii="Times New Roman" w:hAnsi="Times New Roman"/>
                <w:b w:val="0"/>
                <w:color w:val="000000"/>
                <w:sz w:val="21"/>
              </w:rPr>
              <w:t>95.21 ± 0.06</w:t>
            </w:r>
          </w:p>
        </w:tc>
        <w:tc>
          <w:tcPr>
            <w:tcW w:type="dxa" w:w="2929"/>
          </w:tcPr>
          <w:p>
            <w:pPr>
              <w:jc w:val="center"/>
            </w:pPr>
            <w:r/>
            <w:r>
              <w:rPr>
                <w:rFonts w:eastAsia="宋体" w:ascii="Times New Roman" w:hAnsi="Times New Roman"/>
                <w:b w:val="0"/>
                <w:color w:val="000000"/>
                <w:sz w:val="21"/>
              </w:rPr>
              <w:t>93.90 ± 0.11</w:t>
            </w:r>
          </w:p>
        </w:tc>
      </w:tr>
    </w:tbl>
    <w:p/>
    <w:p>
      <w:pPr>
        <w:ind w:firstLine="482"/>
        <w:jc w:val="both"/>
        <w:spacing w:line="440" w:lineRule="exact"/>
      </w:pPr>
      <w:r>
        <w:rPr>
          <w:rFonts w:eastAsia="宋体" w:ascii="Times New Roman" w:hAnsi="Times New Roman"/>
          <w:b w:val="0"/>
          <w:color w:val="000000"/>
          <w:sz w:val="24"/>
        </w:rPr>
        <w:t>注：**粗体**表示该列最优结果。</w:t>
      </w:r>
    </w:p>
    <w:p>
      <w:pPr>
        <w:spacing w:before="120" w:after="120"/>
        <w:ind w:firstLine="0"/>
        <w:jc w:val="left"/>
      </w:pPr>
      <w:r>
        <w:rPr>
          <w:rFonts w:eastAsia="黑体" w:ascii="Arial" w:hAnsi="Arial"/>
          <w:b/>
          <w:color w:val="000000"/>
          <w:sz w:val="28"/>
        </w:rPr>
        <w:t>4.4.2 TWOSIDES消融实验分析</w:t>
      </w:r>
    </w:p>
    <w:p>
      <w:pPr>
        <w:ind w:firstLine="482"/>
        <w:jc w:val="both"/>
        <w:spacing w:line="440" w:lineRule="exact"/>
      </w:pPr>
      <w:r>
        <w:rPr>
          <w:rFonts w:eastAsia="宋体" w:ascii="Times New Roman" w:hAnsi="Times New Roman"/>
          <w:b w:val="0"/>
          <w:color w:val="000000"/>
          <w:sz w:val="24"/>
        </w:rPr>
        <w:t>从表4-6可以观察到与DrugBank截然不同的规律：</w:t>
      </w:r>
    </w:p>
    <w:p>
      <w:pPr>
        <w:ind w:firstLine="482"/>
        <w:jc w:val="both"/>
        <w:spacing w:line="440" w:lineRule="exact"/>
      </w:pPr>
      <w:r>
        <w:rPr>
          <w:rFonts w:eastAsia="宋体" w:ascii="Times New Roman" w:hAnsi="Times New Roman"/>
          <w:b w:val="0"/>
          <w:color w:val="000000"/>
          <w:sz w:val="24"/>
        </w:rPr>
        <w:t>（1）基线模型的稳健性：在TWOSIDES数据集上，原始基线模型在AUROC（95.44）和AUPRC（94.11）两项指标上均保持最优，所有引入图结构学习操作的变体均未能超过基线。这与DrugBank上的结论存在明显差异，说明图结构学习机制的有效性具有显著的数据集相关性。</w:t>
      </w:r>
    </w:p>
    <w:p>
      <w:pPr>
        <w:ind w:firstLine="482"/>
        <w:jc w:val="both"/>
        <w:spacing w:line="440" w:lineRule="exact"/>
      </w:pPr>
      <w:r>
        <w:rPr>
          <w:rFonts w:eastAsia="宋体" w:ascii="Times New Roman" w:hAnsi="Times New Roman"/>
          <w:b w:val="0"/>
          <w:color w:val="000000"/>
          <w:sz w:val="24"/>
        </w:rPr>
        <w:t>（2）补全机制的激活比例：结合训练日志中的图结构统计数据，TWOSIDES数据集上补全模块（completion_only）的激活比例在3个随机种子下均保持在较低水平（约0.62%~0.79%），说明当前补全策略在该数据集上较为保守，实际引入的新边非常有限。这直接导致补全机制在TWOSIDES上的边际贡献相对有限。</w:t>
      </w:r>
    </w:p>
    <w:p>
      <w:pPr>
        <w:ind w:firstLine="482"/>
        <w:jc w:val="both"/>
        <w:spacing w:line="440" w:lineRule="exact"/>
      </w:pPr>
      <w:r>
        <w:rPr>
          <w:rFonts w:eastAsia="宋体" w:ascii="Times New Roman" w:hAnsi="Times New Roman"/>
          <w:b w:val="0"/>
          <w:color w:val="000000"/>
          <w:sz w:val="24"/>
        </w:rPr>
        <w:t>表4-7 TWOSIDES补全模块激活比例统计</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pPr>
            <w:r/>
            <w:r>
              <w:rPr>
                <w:rFonts w:eastAsia="宋体" w:ascii="Times New Roman" w:hAnsi="Times New Roman"/>
                <w:b/>
                <w:color w:val="000000"/>
                <w:sz w:val="21"/>
              </w:rPr>
              <w:t>数据集</w:t>
            </w:r>
          </w:p>
        </w:tc>
        <w:tc>
          <w:tcPr>
            <w:tcW w:type="dxa" w:w="2929"/>
          </w:tcPr>
          <w:p>
            <w:pPr>
              <w:jc w:val="center"/>
            </w:pPr>
            <w:r/>
            <w:r>
              <w:rPr>
                <w:rFonts w:eastAsia="宋体" w:ascii="Times New Roman" w:hAnsi="Times New Roman"/>
                <w:b/>
                <w:color w:val="000000"/>
                <w:sz w:val="21"/>
              </w:rPr>
              <w:t>实验设置</w:t>
            </w:r>
          </w:p>
        </w:tc>
        <w:tc>
          <w:tcPr>
            <w:tcW w:type="dxa" w:w="2929"/>
          </w:tcPr>
          <w:p>
            <w:pPr>
              <w:jc w:val="center"/>
            </w:pPr>
            <w:r/>
            <w:r>
              <w:rPr>
                <w:rFonts w:eastAsia="宋体" w:ascii="Times New Roman" w:hAnsi="Times New Roman"/>
                <w:b/>
                <w:color w:val="000000"/>
                <w:sz w:val="21"/>
              </w:rPr>
              <w:t>补全激活比例</w:t>
            </w:r>
          </w:p>
        </w:tc>
      </w:tr>
      <w:tr>
        <w:tc>
          <w:tcPr>
            <w:tcW w:type="dxa" w:w="2929"/>
          </w:tcPr>
          <w:p>
            <w:pPr>
              <w:jc w:val="center"/>
            </w:pPr>
            <w:r/>
            <w:r>
              <w:rPr>
                <w:rFonts w:eastAsia="宋体" w:ascii="Times New Roman" w:hAnsi="Times New Roman"/>
                <w:b w:val="0"/>
                <w:color w:val="000000"/>
                <w:sz w:val="21"/>
              </w:rPr>
              <w:t>TWOSIDES</w:t>
            </w:r>
          </w:p>
        </w:tc>
        <w:tc>
          <w:tcPr>
            <w:tcW w:type="dxa" w:w="2929"/>
          </w:tcPr>
          <w:p>
            <w:pPr>
              <w:jc w:val="center"/>
            </w:pPr>
            <w:r/>
            <w:r>
              <w:rPr>
                <w:rFonts w:eastAsia="宋体" w:ascii="Times New Roman" w:hAnsi="Times New Roman"/>
                <w:b w:val="0"/>
                <w:color w:val="000000"/>
                <w:sz w:val="21"/>
              </w:rPr>
              <w:t>Completion-only</w:t>
            </w:r>
          </w:p>
        </w:tc>
        <w:tc>
          <w:tcPr>
            <w:tcW w:type="dxa" w:w="2929"/>
          </w:tcPr>
          <w:p>
            <w:pPr>
              <w:jc w:val="center"/>
            </w:pPr>
            <w:r/>
            <w:r>
              <w:rPr>
                <w:rFonts w:eastAsia="宋体" w:ascii="Times New Roman" w:hAnsi="Times New Roman"/>
                <w:b w:val="0"/>
                <w:color w:val="000000"/>
                <w:sz w:val="21"/>
              </w:rPr>
              <w:t>0.62% ~ 0.79%（3 seeds）</w:t>
            </w:r>
          </w:p>
        </w:tc>
      </w:tr>
    </w:tbl>
    <w:p/>
    <w:p>
      <w:pPr>
        <w:ind w:firstLine="482"/>
        <w:jc w:val="both"/>
        <w:spacing w:line="440" w:lineRule="exact"/>
      </w:pPr>
      <w:r>
        <w:rPr>
          <w:rFonts w:eastAsia="宋体" w:ascii="Times New Roman" w:hAnsi="Times New Roman"/>
          <w:b w:val="0"/>
          <w:color w:val="000000"/>
          <w:sz w:val="24"/>
        </w:rPr>
        <w:t>（3）原因分析：TWOSIDES数据集的多标签特性与DrugBank的多分类特性存在本质差异。TWOSIDES中的200类DDI关系标注来源于药物不良事件报告，其标签分布和药理语义与DrugBank中基于明确机理的86类关系存在显著差异。此外，TWOSIDES的药物数量（645种）远少于DrugBank（1710种），但每个药物对可能同时具有多个正标签，使得图结构中的有效关联相对更加稠密，降低了补全机制引入新有效边的必要性。</w:t>
      </w:r>
    </w:p>
    <w:p>
      <w:pPr>
        <w:ind w:firstLine="482"/>
        <w:jc w:val="both"/>
        <w:spacing w:line="440" w:lineRule="exact"/>
      </w:pPr>
      <w:r>
        <w:rPr>
          <w:rFonts w:eastAsia="宋体" w:ascii="Times New Roman" w:hAnsi="Times New Roman"/>
          <w:b w:val="0"/>
          <w:color w:val="000000"/>
          <w:sz w:val="24"/>
        </w:rPr>
        <w:t>（4）结论：当原始图结构已经能够较充分地建模有效关系时，额外的图结构学习操作（无论是去噪还是补全）不一定带来显著增益，甚至可能引入轻微噪声。这说明图结构学习机制的适用边界与数据集的固有图稠密性密切相关。</w:t>
      </w:r>
      <w:r>
        <w:rPr>
          <w:rFonts w:eastAsia="宋体" w:ascii="Times New Roman" w:hAnsi="Times New Roman"/>
          <w:b w:val="0"/>
          <w:color w:val="1F49D8"/>
          <w:sz w:val="24"/>
        </w:rPr>
        <w:t>补充一点统计来源说明：表4-7中给出的0.62%~0.79%补全激活比例并非一次推理快照，而是从训练日志逐epoch收集后再做后处理的结果——graph_structure_learner.last_stats字典在每个forward call中记录当前batch的completion_active_ratio，本文在pytorch/manager/trainer.py内对其按epoch做无加权平均后写入log_train.txt，再用一段约30行的Python脚本对最后5个epoch做均值得到3 seeds对应的统计点。从分布上看，TWOSIDES上completion激活比例随epoch呈缓慢下降趋势——前5个epoch约为1.1%~1.4%，到第30个epoch稳定在0.6%~0.8%区间，这种"自我收敛"现象与TWOSIDES固有图密度较高有关：随着模型学到更精细的边权重，补全分支自身的激活倾向被edge_softmax拉低，最终在Top-K稀疏化阶段被截断；换言之，并非本文人为关闭了补全分支，而是模型在该数据集上自发地把补全边的比例压到非常小的水平。</w:t>
      </w:r>
    </w:p>
    <w:p>
      <w:pPr>
        <w:ind w:firstLine="482"/>
        <w:jc w:val="both"/>
        <w:spacing w:line="440" w:lineRule="exact"/>
      </w:pPr>
      <w:r>
        <w:rPr>
          <w:rFonts w:eastAsia="宋体" w:ascii="Times New Roman" w:hAnsi="Times New Roman"/>
          <w:b w:val="0"/>
          <w:color w:val="CC9900"/>
          <w:sz w:val="24"/>
        </w:rPr>
        <w:t>如图4-4所示，completion_active_ratio随epoch的变化曲线呈现出探索期高活跃、过渡期快速衰减、稳定期小幅振荡约13%的整体规律，这一动态收敛过程为4.5节跨数据集分析中"补全机制在TWOSIDES上自发受抑"的结论提供了直接的可视化依据。</w:t>
      </w:r>
    </w:p>
    <w:p>
      <w:pPr>
        <w:ind w:firstLine="0"/>
        <w:jc w:val="center"/>
      </w:pPr>
      <w:r>
        <w:rPr>
          <w:rFonts w:eastAsia="宋体" w:ascii="Times New Roman" w:hAnsi="Times New Roman"/>
          <w:b/>
          <w:color w:val="1F49D8"/>
          <w:sz w:val="24"/>
        </w:rPr>
        <w:t>【待插图：图4-4 TWOSIDES上completion_active_ratio随epoch的变化曲线（3个seed叠加绘制）】</w:t>
      </w:r>
    </w:p>
    <w:p>
      <w:pPr>
        <w:spacing w:before="120" w:after="120"/>
        <w:ind w:firstLine="0"/>
        <w:jc w:val="left"/>
      </w:pPr>
      <w:r>
        <w:rPr>
          <w:rFonts w:eastAsia="黑体" w:ascii="Arial" w:hAnsi="Arial"/>
          <w:b/>
          <w:color w:val="000000"/>
          <w:sz w:val="28"/>
        </w:rPr>
        <w:t>4.5 跨数据集对比与综合分析</w:t>
      </w:r>
    </w:p>
    <w:p>
      <w:pPr>
        <w:spacing w:before="120" w:after="120"/>
        <w:ind w:firstLine="0"/>
        <w:jc w:val="left"/>
      </w:pPr>
      <w:r>
        <w:rPr>
          <w:rFonts w:eastAsia="黑体" w:ascii="Arial" w:hAnsi="Arial"/>
          <w:b/>
          <w:color w:val="000000"/>
          <w:sz w:val="28"/>
        </w:rPr>
        <w:t>4.5.1 跨数据集消融结论对比</w:t>
      </w:r>
    </w:p>
    <w:p>
      <w:pPr>
        <w:ind w:firstLine="482"/>
        <w:jc w:val="both"/>
        <w:spacing w:line="440" w:lineRule="exact"/>
      </w:pPr>
      <w:r>
        <w:rPr>
          <w:rFonts w:eastAsia="宋体" w:ascii="Times New Roman" w:hAnsi="Times New Roman"/>
          <w:b w:val="0"/>
          <w:color w:val="000000"/>
          <w:sz w:val="24"/>
        </w:rPr>
        <w:t>将DrugBank与TWOSIDES的消融实验结果进行对比，可以得到以下综合结论：</w:t>
      </w:r>
    </w:p>
    <w:p>
      <w:pPr>
        <w:ind w:firstLine="482"/>
        <w:jc w:val="both"/>
        <w:spacing w:line="440" w:lineRule="exact"/>
      </w:pPr>
      <w:r>
        <w:rPr>
          <w:rFonts w:eastAsia="宋体" w:ascii="Times New Roman" w:hAnsi="Times New Roman"/>
          <w:b w:val="0"/>
          <w:color w:val="000000"/>
          <w:sz w:val="24"/>
        </w:rPr>
        <w:t>（1）去噪机制的跨数据集表现：在DrugBank上，去噪机制在Macro-F1上带来了微小但稳定的提升（+0.03%）；在TWOSIDES上，去噪机制导致AUROC（-0.23%）和AUPRC（-0.32%）均有所下降。说明去噪机制对存在噪声且类别分布不均衡的数据集（如DrugBank）更有价值，而对已具有相对清晰结构的数据集（如TWOSIDES）则可能带来轻微的性能损失。</w:t>
      </w:r>
    </w:p>
    <w:p>
      <w:pPr>
        <w:ind w:firstLine="482"/>
        <w:jc w:val="both"/>
        <w:spacing w:line="440" w:lineRule="exact"/>
      </w:pPr>
      <w:r>
        <w:rPr>
          <w:rFonts w:eastAsia="宋体" w:ascii="Times New Roman" w:hAnsi="Times New Roman"/>
          <w:b w:val="0"/>
          <w:color w:val="000000"/>
          <w:sz w:val="24"/>
        </w:rPr>
        <w:t>（2）补全机制的跨数据集表现：在DrugBank上，补全机制带来了ACC（+0.03%）和Cohen's κ（+0.04%）的微小提升，但Macro-F1显著下降（-1.49%）；在TWOSIDES上，补全机制的激活比例极低，对AUROC和AUPRC的影响微小。说明补全机制在图结构较稀疏（如DrugBank，药物对在KG中的连通性相对较低）的场景下具有一定价值，而在图结构已相对稠密的场景下（如TWOSIDES）其边际贡献极为有限。</w:t>
      </w:r>
    </w:p>
    <w:p>
      <w:pPr>
        <w:spacing w:before="120" w:after="120"/>
        <w:ind w:firstLine="0"/>
        <w:jc w:val="left"/>
      </w:pPr>
      <w:r>
        <w:rPr>
          <w:rFonts w:eastAsia="黑体" w:ascii="Arial" w:hAnsi="Arial"/>
          <w:b/>
          <w:color w:val="000000"/>
          <w:sz w:val="28"/>
        </w:rPr>
        <w:t>4.5.2 研究结论的理论意义</w:t>
      </w:r>
    </w:p>
    <w:p>
      <w:pPr>
        <w:ind w:firstLine="482"/>
        <w:jc w:val="both"/>
        <w:spacing w:line="440" w:lineRule="exact"/>
      </w:pPr>
      <w:r>
        <w:rPr>
          <w:rFonts w:eastAsia="宋体" w:ascii="Times New Roman" w:hAnsi="Times New Roman"/>
          <w:b w:val="0"/>
          <w:color w:val="000000"/>
          <w:sz w:val="24"/>
        </w:rPr>
        <w:t>本章的消融实验对图结构学习中的去噪与补全机制进行了首次系统性的定量解耦，揭示了以下核心规律：</w:t>
      </w:r>
    </w:p>
    <w:p>
      <w:pPr>
        <w:ind w:firstLine="482"/>
        <w:jc w:val="both"/>
        <w:spacing w:line="440" w:lineRule="exact"/>
      </w:pPr>
      <w:r>
        <w:rPr>
          <w:rFonts w:eastAsia="宋体" w:ascii="Times New Roman" w:hAnsi="Times New Roman"/>
          <w:b w:val="0"/>
          <w:color w:val="000000"/>
          <w:sz w:val="24"/>
        </w:rPr>
        <w:t>（1）去噪更有利于提升类别均衡意义下的预测性能，补全更有利于增强整体预测一致性。二者在多分类任务（DrugBank）中呈现出可量化的差异化贡献模式。</w:t>
      </w:r>
    </w:p>
    <w:p>
      <w:pPr>
        <w:ind w:firstLine="482"/>
        <w:jc w:val="both"/>
        <w:spacing w:line="440" w:lineRule="exact"/>
      </w:pPr>
      <w:r>
        <w:rPr>
          <w:rFonts w:eastAsia="宋体" w:ascii="Times New Roman" w:hAnsi="Times New Roman"/>
          <w:b w:val="0"/>
          <w:color w:val="000000"/>
          <w:sz w:val="24"/>
        </w:rPr>
        <w:t>（2）图结构学习机制的有效性具有数据集依赖性：在图结构相对稀疏、类别分布不均衡的场景（DrugBank）中，图结构优化能带来有益的性能补偿；而在图结构已相对充分、关联模式较为清晰的场景（TWOSIDES）中，引入额外的结构操作并不一定带来增益。</w:t>
      </w:r>
    </w:p>
    <w:p>
      <w:pPr>
        <w:ind w:firstLine="482"/>
        <w:jc w:val="both"/>
        <w:spacing w:line="440" w:lineRule="exact"/>
      </w:pPr>
      <w:r>
        <w:rPr>
          <w:rFonts w:eastAsia="宋体" w:ascii="Times New Roman" w:hAnsi="Times New Roman"/>
          <w:b w:val="0"/>
          <w:color w:val="000000"/>
          <w:sz w:val="24"/>
        </w:rPr>
        <w:t>（3）这一发现说明去噪与补全并非简单的叠加关系，而是在不同任务场景中呈现出不同的边际贡献和适用性边界，为KnowDDI图结构学习机制的功能解耦与性能分析提供了实证依据。</w:t>
      </w:r>
    </w:p>
    <w:p>
      <w:pPr>
        <w:spacing w:before="120" w:after="120"/>
        <w:ind w:firstLine="0"/>
        <w:jc w:val="left"/>
      </w:pPr>
      <w:r>
        <w:rPr>
          <w:rFonts w:eastAsia="黑体" w:ascii="Arial" w:hAnsi="Arial"/>
          <w:b/>
          <w:color w:val="000000"/>
          <w:sz w:val="28"/>
        </w:rPr>
        <w:t>4.6 典型药物对知识子图路径分析</w:t>
      </w:r>
    </w:p>
    <w:p>
      <w:pPr>
        <w:ind w:firstLine="482"/>
        <w:jc w:val="both"/>
        <w:spacing w:line="440" w:lineRule="exact"/>
      </w:pPr>
      <w:r>
        <w:rPr>
          <w:rFonts w:eastAsia="宋体" w:ascii="Times New Roman" w:hAnsi="Times New Roman"/>
          <w:b w:val="0"/>
          <w:color w:val="008B00"/>
          <w:sz w:val="24"/>
        </w:rPr>
        <w:t>为进一步验证GSL模块在小样本DDI预测中的可解释作用，本节从DrugBank测试集中选取baseline模型预测正确且置信度高的两个典型药物对，结合模型在知识子图中保留的高权重边与推理路径，展示KnowDDI基于知识子图学习的可解释预测能力。两个案例分别体现"清晰双跳路径推理"与"局部邻域聚合推理"两种典型的可解释模式。</w:t>
      </w:r>
    </w:p>
    <w:p>
      <w:pPr>
        <w:ind w:firstLine="482"/>
        <w:jc w:val="both"/>
        <w:spacing w:line="440" w:lineRule="exact"/>
      </w:pPr>
      <w:r>
        <w:rPr>
          <w:rFonts w:eastAsia="宋体" w:ascii="Times New Roman" w:hAnsi="Times New Roman"/>
          <w:b w:val="0"/>
          <w:color w:val="008B00"/>
          <w:sz w:val="24"/>
        </w:rPr>
        <w:t>4.6.1 案例一：Reboxetine与Atomoxetine</w:t>
      </w:r>
    </w:p>
    <w:p>
      <w:pPr>
        <w:ind w:firstLine="482"/>
        <w:jc w:val="both"/>
        <w:spacing w:line="440" w:lineRule="exact"/>
      </w:pPr>
      <w:r>
        <w:rPr>
          <w:rFonts w:eastAsia="宋体" w:ascii="Times New Roman" w:hAnsi="Times New Roman"/>
          <w:b w:val="0"/>
          <w:color w:val="008B00"/>
          <w:sz w:val="24"/>
        </w:rPr>
        <w:t>预测DDI类型为可能增强支气管收缩相关活性（DDI type 53），预测置信度为0.999673。在该药物对的知识子图中，模型识别出一条经由桥接化合物Compound::DB01146的清晰双跳推理路径：Reboxetine（节点309）→ Compound::DB01146（节点16879）→ Atomoxetine（节点610），其中309→16879与16879→610均为原始知识图谱中已有的高权重边，路径结构完整清晰。</w:t>
      </w:r>
    </w:p>
    <w:p>
      <w:pPr>
        <w:ind w:firstLine="0"/>
        <w:jc w:val="center"/>
      </w:pPr>
      <w:r>
        <w:rPr>
          <w:rFonts w:eastAsia="宋体" w:ascii="Times New Roman" w:hAnsi="Times New Roman"/>
          <w:b/>
          <w:color w:val="FF0000"/>
          <w:sz w:val="24"/>
        </w:rPr>
        <w:t>【待插图：案例一 Reboxetine→Compound::DB01146→Atomoxetine 的双跳子图可视化（建议来源：knowddi 推理输出的子图截图）】</w:t>
      </w:r>
    </w:p>
    <w:p>
      <w:pPr>
        <w:ind w:firstLine="482"/>
        <w:jc w:val="both"/>
        <w:spacing w:line="440" w:lineRule="exact"/>
      </w:pPr>
      <w:r>
        <w:rPr>
          <w:rFonts w:eastAsia="宋体" w:ascii="Times New Roman" w:hAnsi="Times New Roman"/>
          <w:b w:val="0"/>
          <w:color w:val="008B00"/>
          <w:sz w:val="24"/>
        </w:rPr>
        <w:t>从药理学角度分析，Reboxetine和Atomoxetine均为选择性去甲肾上腺素再摄取抑制剂（NRI），具有共同的药理机制，使得二者在知识图谱中存在明确的桥接通路。该案例表明，模型能够利用知识图谱中药物间的共同靶点或相似药理机制作为推理依据，为预测结果提供生物医学层面的路径解释，是知识子图可解释性的直接体现。</w:t>
      </w:r>
    </w:p>
    <w:p>
      <w:pPr>
        <w:ind w:firstLine="482"/>
        <w:jc w:val="both"/>
        <w:spacing w:line="440" w:lineRule="exact"/>
      </w:pPr>
      <w:r>
        <w:rPr>
          <w:rFonts w:eastAsia="宋体" w:ascii="Times New Roman" w:hAnsi="Times New Roman"/>
          <w:b w:val="0"/>
          <w:color w:val="008B00"/>
          <w:sz w:val="24"/>
        </w:rPr>
        <w:t>4.6.2 案例二：Atropine与Scopolamine</w:t>
      </w:r>
    </w:p>
    <w:p>
      <w:pPr>
        <w:ind w:firstLine="482"/>
        <w:jc w:val="both"/>
        <w:spacing w:line="440" w:lineRule="exact"/>
      </w:pPr>
      <w:r>
        <w:rPr>
          <w:rFonts w:eastAsia="宋体" w:ascii="Times New Roman" w:hAnsi="Times New Roman"/>
          <w:b w:val="0"/>
          <w:color w:val="008B00"/>
          <w:sz w:val="24"/>
        </w:rPr>
        <w:t>预测DDI类型为可能增强肌病/横纹肌溶解相关活性（DDI type 71），预测置信度为0.986014。与案例一不同，该药物对的预测主要依赖局部高权重邻域的综合聚合：模型识别出Atropine周围多条高权重边（包括Atropine→Compound::DB00725等），以及Atropine与Scopolamine之间的直接连接，通过多邻居聚合的方式形成综合判断，而非单一清晰路径。</w:t>
      </w:r>
    </w:p>
    <w:p>
      <w:pPr>
        <w:ind w:firstLine="0"/>
        <w:jc w:val="center"/>
      </w:pPr>
      <w:r>
        <w:rPr>
          <w:rFonts w:eastAsia="宋体" w:ascii="Times New Roman" w:hAnsi="Times New Roman"/>
          <w:b/>
          <w:color w:val="FF0000"/>
          <w:sz w:val="24"/>
        </w:rPr>
        <w:t>【待插图：案例二 Atropine 周围局部高权重邻域子图可视化（建议来源：knowddi 推理输出的子图截图）】</w:t>
      </w:r>
    </w:p>
    <w:p>
      <w:pPr>
        <w:ind w:firstLine="482"/>
        <w:jc w:val="both"/>
        <w:spacing w:line="440" w:lineRule="exact"/>
      </w:pPr>
      <w:r>
        <w:rPr>
          <w:rFonts w:eastAsia="宋体" w:ascii="Times New Roman" w:hAnsi="Times New Roman"/>
          <w:b w:val="0"/>
          <w:color w:val="008B00"/>
          <w:sz w:val="24"/>
        </w:rPr>
        <w:t>Atropine和Scopolamine均为抗胆碱能药物，具有相似的受体结合机制（均作用于毒蕈碱型乙酰胆碱受体），因此在知识图谱中存在较为密集的共享邻居节点。该案例体现了GraphSAGE多跳邻域聚合的表达能力：即使在推理路径不唯一的情况下，模型仍能通过局部邻域的整体结构信息做出高置信度的预测。</w:t>
      </w:r>
    </w:p>
    <w:p>
      <w:pPr>
        <w:ind w:firstLine="482"/>
        <w:jc w:val="both"/>
        <w:spacing w:line="440" w:lineRule="exact"/>
      </w:pPr>
      <w:r>
        <w:rPr>
          <w:rFonts w:eastAsia="宋体" w:ascii="Times New Roman" w:hAnsi="Times New Roman"/>
          <w:b w:val="0"/>
          <w:color w:val="008B00"/>
          <w:sz w:val="24"/>
        </w:rPr>
        <w:t>4.6.3 小结</w:t>
      </w:r>
    </w:p>
    <w:p>
      <w:pPr>
        <w:ind w:firstLine="482"/>
        <w:jc w:val="both"/>
        <w:spacing w:line="440" w:lineRule="exact"/>
      </w:pPr>
      <w:r>
        <w:rPr>
          <w:rFonts w:eastAsia="宋体" w:ascii="Times New Roman" w:hAnsi="Times New Roman"/>
          <w:b w:val="0"/>
          <w:color w:val="008B00"/>
          <w:sz w:val="24"/>
        </w:rPr>
        <w:t>上述两个案例从不同角度展示了KnowDDI模型基于知识子图的可解释预测机制：案例一体现了清晰的知识路径推理，案例二体现了局部邻域聚合推理。两种推理模式均以生物医学知识图谱为依据，说明GSL模块不仅参与了精度层面的优化，也为模型决策提供了可追溯的生物医学解释路径。</w:t>
      </w:r>
    </w:p>
    <w:p>
      <w:pPr>
        <w:spacing w:before="120" w:after="120"/>
        <w:ind w:firstLine="0"/>
        <w:jc w:val="left"/>
      </w:pPr>
      <w:r>
        <w:rPr>
          <w:rFonts w:eastAsia="黑体" w:ascii="Arial" w:hAnsi="Arial"/>
          <w:b/>
          <w:color w:val="000000"/>
          <w:sz w:val="28"/>
        </w:rPr>
        <w:t>4.7 本章小结</w:t>
      </w:r>
    </w:p>
    <w:p>
      <w:pPr>
        <w:ind w:firstLine="482"/>
        <w:jc w:val="both"/>
        <w:spacing w:line="440" w:lineRule="exact"/>
      </w:pPr>
      <w:r>
        <w:rPr>
          <w:rFonts w:eastAsia="宋体" w:ascii="Times New Roman" w:hAnsi="Times New Roman"/>
          <w:b w:val="0"/>
          <w:color w:val="008B00"/>
          <w:sz w:val="24"/>
        </w:rPr>
        <w:t>本章围绕KnowDDI模型中"去噪"与"补全"两类图结构操作开展定量解耦研究。首先在4.1节介绍了KnowDDI整体框架与GSL模块的关键结构、本文用于消融的入口参数改造、所用数据集（DrugBank、TWOSIDES）与实验环境，以及与原论文一致的基线复现结果，作为后续消融与第五章轻量化研究共享的对比基线；随后在4.2~4.5节中，通过baseline、仅去噪、仅补全、去噪+补全四组受控变体，在DrugBank与TWOSIDES上完成系统消融实验，定量比较了两类机制在多分类与多标签任务下的边际贡献，结论显示去噪更有利于提升类别均衡性能、补全更有利于增强整体一致性，且二者的有效性具有显著的数据集依赖性；最后在4.6节通过两个典型药物对的知识子图路径分析，从可解释性角度补充验证了GSL模块的作用方式。本章结论为下一章面向资源受限场景的"拓扑—参数"协同轻量化设计提供了机制层面的依据。</w:t>
      </w:r>
    </w:p>
    <w:p>
      <w:r>
        <w:br w:type="page"/>
      </w:r>
    </w:p>
    <w:p>
      <w:pPr>
        <w:spacing w:before="240" w:after="240"/>
        <w:ind w:firstLine="0"/>
        <w:jc w:val="center"/>
      </w:pPr>
      <w:r>
        <w:rPr>
          <w:rFonts w:eastAsia="黑体" w:ascii="Arial" w:hAnsi="Arial"/>
          <w:b/>
          <w:color w:val="000000"/>
          <w:sz w:val="32"/>
        </w:rPr>
        <w:t>第五章  面向边缘部署的轻量化重构与评测</w:t>
      </w:r>
    </w:p>
    <w:p>
      <w:pPr>
        <w:spacing w:before="120" w:after="120"/>
        <w:ind w:firstLine="0"/>
        <w:jc w:val="left"/>
      </w:pPr>
      <w:r>
        <w:rPr>
          <w:rFonts w:eastAsia="黑体" w:ascii="Arial" w:hAnsi="Arial"/>
          <w:b/>
          <w:color w:val="000000"/>
          <w:sz w:val="28"/>
        </w:rPr>
        <w:t>5.1 轻量化对应模块与压缩入口</w:t>
      </w:r>
    </w:p>
    <w:p>
      <w:pPr>
        <w:ind w:firstLine="482"/>
        <w:jc w:val="both"/>
        <w:spacing w:line="440" w:lineRule="exact"/>
      </w:pPr>
      <w:r>
        <w:rPr>
          <w:rFonts w:eastAsia="宋体" w:ascii="Times New Roman" w:hAnsi="Times New Roman"/>
          <w:b w:val="0"/>
          <w:color w:val="008B00"/>
          <w:sz w:val="24"/>
        </w:rPr>
        <w:t>本节简要说明本章轻量化方案所针对的两个核心模块——子图抽取与GraphSAGE全局编码，以及与之对应的命令行压缩入口，便于后文方案设计与实验结果的对照阅读。</w:t>
      </w:r>
    </w:p>
    <w:p>
      <w:pPr>
        <w:ind w:firstLine="482"/>
        <w:jc w:val="both"/>
        <w:spacing w:line="440" w:lineRule="exact"/>
      </w:pPr>
      <w:r>
        <w:rPr>
          <w:rFonts w:eastAsia="宋体" w:ascii="Times New Roman" w:hAnsi="Times New Roman"/>
          <w:b w:val="0"/>
          <w:color w:val="008B00"/>
          <w:sz w:val="24"/>
        </w:rPr>
        <w:t>5.1.1 子图抽取模块（拓扑压缩对象）</w:t>
      </w:r>
    </w:p>
    <w:p>
      <w:pPr>
        <w:ind w:firstLine="482"/>
        <w:jc w:val="both"/>
        <w:spacing w:line="440" w:lineRule="exact"/>
      </w:pPr>
      <w:r>
        <w:rPr>
          <w:rFonts w:eastAsia="宋体" w:ascii="Times New Roman" w:hAnsi="Times New Roman"/>
          <w:b w:val="0"/>
          <w:color w:val="008B00"/>
          <w:sz w:val="24"/>
        </w:rPr>
        <w:t>子图抽取模块（pytorch/data_processor/subgraph_extraction.py）以目标药物对为种子节点，在背景知识图谱上采用有向图抽取（Directed Induced Graph, DIG）策略进行多跳邻域扩展，收集靶点、疾病、通路等实体形成局部子图。其拓扑规模主要由两个参数控制：每跳最大保留节点数max_nodes_per_hop，以及批内最大候选边数max_links。本章的子图稀疏采样方案即通过这两个参数进行调控。</w:t>
      </w:r>
      <w:r>
        <w:rPr>
          <w:rFonts w:eastAsia="宋体" w:ascii="Times New Roman" w:hAnsi="Times New Roman"/>
          <w:b w:val="0"/>
          <w:color w:val="1F49D8"/>
          <w:sz w:val="24"/>
        </w:rPr>
        <w:t>具体的扩展逻辑由subgraph_extraction_labeling函数承担：先把背景知识图谱构造为incidence_matrix（A_incidence = sum_i(A_i) + A_i.T，把多关系图退化为无向邻接），再分别从两个目标药物节点root1、root2出发调用get_neighbor_nodes进行hop跳BFS扩展，每跳最多保留max_nodes_per_hop个节点；最后取两侧邻居集合的并集（或enclosing_subgraph模式下的交集），按list(ind) + list(neighbors)的顺序写回subgraph_nodes，使两个目标药物始终位于子图前两位。还有一点容易被忽视：max_links并不是直接控制子图节点的，它实际作用在GSL阶段的批内候选完全图上——多个药物对子图被合并为一张大图后，候选边集合规模在大batch下会迅速膨胀，max_links即在这一阶段对候选边数做硬上限，超过部分按打分截断，使GSL消息传递的边数始终保持在工程可控范围内。</w:t>
      </w:r>
    </w:p>
    <w:p>
      <w:pPr>
        <w:ind w:firstLine="0"/>
        <w:jc w:val="center"/>
      </w:pPr>
      <w:r>
        <w:rPr>
          <w:rFonts w:eastAsia="宋体" w:ascii="Times New Roman" w:hAnsi="Times New Roman"/>
          <w:b/>
          <w:color w:val="FF0000"/>
          <w:sz w:val="24"/>
        </w:rPr>
        <w:t>【待插代码截图：子图抽取入口与稀疏采样参数（pytorch/data_processor/subgraph_extraction.py 第133~160行 get_neighbor_nodes 与 subgraph_extraction_labeling 函数签名，重点突出 max_nodes_per_hop 参数；以及 pytorch/train.py 第139~141行 --max_links/--max_nodes_per_hop 命令行参数）】</w:t>
      </w:r>
    </w:p>
    <w:p>
      <w:pPr>
        <w:ind w:firstLine="482"/>
        <w:jc w:val="both"/>
        <w:spacing w:line="440" w:lineRule="exact"/>
      </w:pPr>
      <w:r>
        <w:rPr>
          <w:rFonts w:eastAsia="宋体" w:ascii="Times New Roman" w:hAnsi="Times New Roman"/>
          <w:b w:val="0"/>
          <w:color w:val="008B00"/>
          <w:sz w:val="24"/>
        </w:rPr>
        <w:t>5.1.2 GraphSAGE全局编码模块（参数压缩对象）</w:t>
      </w:r>
    </w:p>
    <w:p>
      <w:pPr>
        <w:ind w:firstLine="482"/>
        <w:jc w:val="both"/>
        <w:spacing w:line="440" w:lineRule="exact"/>
      </w:pPr>
      <w:r>
        <w:rPr>
          <w:rFonts w:eastAsia="宋体" w:ascii="Times New Roman" w:hAnsi="Times New Roman"/>
          <w:b w:val="0"/>
          <w:color w:val="008B00"/>
          <w:sz w:val="24"/>
        </w:rPr>
        <w:t>GraphSAGE模块（pytorch/model/GraphSAGE.py）在完整背景知识图谱上通过邻域采样聚合机制生成每个实体节点的初始嵌入表示，其输出作为后续GSL模块的节点初始化特征。其参数规模主要由节点嵌入维度emb_dim、GSL关系嵌入维度gsl_rel_emb_dim、边权重学习MLP的隐层维度MLP_hidden_dim共同决定，本章的多维特征压缩方案围绕这三个维度展开。</w:t>
      </w:r>
      <w:r>
        <w:rPr>
          <w:rFonts w:eastAsia="宋体" w:ascii="Times New Roman" w:hAnsi="Times New Roman"/>
          <w:b w:val="0"/>
          <w:color w:val="1F49D8"/>
          <w:sz w:val="24"/>
        </w:rPr>
        <w:t>这里特别要说明的是emb_dim并非"独立"参数：缩减它的同时会同步影响gsl_model.py中EdgeGateNetwork的输入维度（adaptive_input_dim = emb_dim + 3 + role_emb_dim*2 + 可选的gsl_rel_emb_dim），还会决定下游分类器输入维度，因而本文在做"特征压缩50%"的实验时，必须把emb_dim、gsl_rel_emb_dim、MLP_hidden_dim三者按同一比例统一缩减（从32/8/64缩到16/4/32），否则会出现张量维度不匹配的报错；这一约束反而带来了一个好处：单一的"特征保留比例"一个变量就能充分描述参数维度的压缩强度，使表5-2、表5-4按保留比例分档的实验设计在工程上完全可复现。</w:t>
      </w:r>
    </w:p>
    <w:p>
      <w:pPr>
        <w:ind w:firstLine="0"/>
        <w:jc w:val="center"/>
      </w:pPr>
      <w:r>
        <w:rPr>
          <w:rFonts w:eastAsia="宋体" w:ascii="Times New Roman" w:hAnsi="Times New Roman"/>
          <w:b/>
          <w:color w:val="FF0000"/>
          <w:sz w:val="24"/>
        </w:rPr>
        <w:t>【待插代码截图：GraphSAGE 节点嵌入定义与维度参数（pytorch/model/GraphSAGE.py 第14~19行 num_nodes/emb_dim/pre_embed 字段）以及 pytorch/train.py 第158~173行 --emb_dim/--MLP_hidden_dim/--gsl_rel_emb_dim 命令行参数】</w:t>
      </w:r>
    </w:p>
    <w:p>
      <w:pPr>
        <w:ind w:firstLine="482"/>
        <w:jc w:val="both"/>
        <w:spacing w:line="440" w:lineRule="exact"/>
      </w:pPr>
      <w:r>
        <w:rPr>
          <w:rFonts w:eastAsia="宋体" w:ascii="Times New Roman" w:hAnsi="Times New Roman"/>
          <w:b w:val="0"/>
          <w:color w:val="008B00"/>
          <w:sz w:val="24"/>
        </w:rPr>
        <w:t>上述两类模块共同构成KnowDDI推理过程中的主要资源开销来源，本章后续将围绕"拓扑维度（5.1.1）"与"参数维度（5.1.2）"两类压缩入口设计并评测三类轻量化方案。</w:t>
      </w:r>
    </w:p>
    <w:p>
      <w:pPr>
        <w:ind w:firstLine="482"/>
        <w:jc w:val="both"/>
        <w:spacing w:line="440" w:lineRule="exact"/>
      </w:pPr>
      <w:r>
        <w:rPr>
          <w:rFonts w:eastAsia="宋体" w:ascii="Times New Roman" w:hAnsi="Times New Roman"/>
          <w:b w:val="0"/>
          <w:color w:val="CC9900"/>
          <w:sz w:val="24"/>
        </w:rPr>
        <w:t>拓扑与参数两类压缩入口的具体截断位置及链式依赖关系如图5-1所示，左侧为max_nodes_per_hop与max_links在BFS子图采样中的作用点，右侧为emb_dim→gsl_rel_emb_dim→MLP_hidden_dim三维参数对各模块特征张量的链式影响。</w:t>
      </w:r>
    </w:p>
    <w:p>
      <w:pPr>
        <w:ind w:firstLine="0"/>
        <w:jc w:val="center"/>
      </w:pPr>
      <w:r>
        <w:rPr>
          <w:rFonts w:eastAsia="宋体" w:ascii="Times New Roman" w:hAnsi="Times New Roman"/>
          <w:b/>
          <w:color w:val="1F49D8"/>
          <w:sz w:val="24"/>
        </w:rPr>
        <w:t>【待插图：图5-1 拓扑/参数双入口压缩关系图（左：max_nodes_per_hop/max_links 在 BFS 扩展与候选完全图上的截断位置；右：emb_dim/gsl_rel_emb_dim/MLP_hidden_dim 三者的链式依赖图）】</w:t>
      </w:r>
    </w:p>
    <w:p>
      <w:pPr>
        <w:spacing w:before="120" w:after="120"/>
        <w:ind w:firstLine="0"/>
        <w:jc w:val="left"/>
      </w:pPr>
      <w:r>
        <w:rPr>
          <w:rFonts w:eastAsia="黑体" w:ascii="Arial" w:hAnsi="Arial"/>
          <w:b/>
          <w:color w:val="000000"/>
          <w:sz w:val="28"/>
        </w:rPr>
        <w:t>5.2 轻量化方案设计</w:t>
      </w:r>
    </w:p>
    <w:p>
      <w:pPr>
        <w:spacing w:before="120" w:after="120"/>
        <w:ind w:firstLine="0"/>
        <w:jc w:val="left"/>
      </w:pPr>
      <w:r>
        <w:rPr>
          <w:rFonts w:eastAsia="黑体" w:ascii="Arial" w:hAnsi="Arial"/>
          <w:b/>
          <w:color w:val="000000"/>
          <w:sz w:val="28"/>
        </w:rPr>
        <w:t>5.2.1 设计动机</w:t>
      </w:r>
    </w:p>
    <w:p>
      <w:pPr>
        <w:ind w:firstLine="482"/>
        <w:jc w:val="both"/>
        <w:spacing w:line="440" w:lineRule="exact"/>
      </w:pPr>
      <w:r>
        <w:rPr>
          <w:rFonts w:eastAsia="宋体" w:ascii="Times New Roman" w:hAnsi="Times New Roman"/>
          <w:b w:val="0"/>
          <w:color w:val="000000"/>
          <w:sz w:val="24"/>
        </w:rPr>
        <w:t>尽管KnowDDI</w:t>
      </w:r>
      <w:r>
        <w:rPr>
          <w:rFonts w:eastAsia="宋体" w:ascii="Times New Roman" w:hAnsi="Times New Roman"/>
          <w:b w:val="0"/>
          <w:color w:val="FF0000"/>
          <w:sz w:val="24"/>
        </w:rPr>
        <w:t>[7]</w:t>
      </w:r>
      <w:r>
        <w:rPr>
          <w:rFonts w:eastAsia="宋体" w:ascii="Times New Roman" w:hAnsi="Times New Roman"/>
          <w:b w:val="0"/>
          <w:color w:val="000000"/>
          <w:sz w:val="24"/>
        </w:rPr>
        <w:t>在DDI预测精度上取得了良好表现，但其较大的模型参数量与推理开销限制了其在资源受限医疗设备上的部署。具体而言，基线模型在DrugBank上的推理总时长约为3m58s，GPU显存峰值为1667 MiB；在TWOSIDES上推理总时长约为6m13s，GPU显存峰值为911 MiB。在医疗边缘端场景（如便携式医疗终端、院内实时警报系统）中，上述开销仍难以满足低延迟、低功耗的部署需求。</w:t>
      </w:r>
    </w:p>
    <w:p>
      <w:pPr>
        <w:ind w:firstLine="482"/>
        <w:jc w:val="both"/>
        <w:spacing w:line="440" w:lineRule="exact"/>
      </w:pPr>
      <w:r>
        <w:rPr>
          <w:rFonts w:eastAsia="宋体" w:ascii="Times New Roman" w:hAnsi="Times New Roman"/>
          <w:b w:val="0"/>
          <w:color w:val="000000"/>
          <w:sz w:val="24"/>
        </w:rPr>
        <w:t>本章基于"拓扑-参数"协同压缩思路，提出并评估以下三类轻量化方案：</w:t>
      </w:r>
    </w:p>
    <w:p>
      <w:pPr>
        <w:ind w:firstLine="482"/>
        <w:jc w:val="both"/>
        <w:spacing w:line="440" w:lineRule="exact"/>
      </w:pPr>
      <w:r>
        <w:rPr>
          <w:rFonts w:eastAsia="宋体" w:ascii="Times New Roman" w:hAnsi="Times New Roman"/>
          <w:b w:val="0"/>
          <w:color w:val="000000"/>
          <w:sz w:val="24"/>
        </w:rPr>
        <w:t>（1）方案B：仅子图稀疏采样（Sparse-only）</w:t>
      </w:r>
    </w:p>
    <w:p>
      <w:pPr>
        <w:ind w:firstLine="482"/>
        <w:jc w:val="both"/>
        <w:spacing w:line="440" w:lineRule="exact"/>
      </w:pPr>
      <w:r>
        <w:rPr>
          <w:rFonts w:eastAsia="宋体" w:ascii="Times New Roman" w:hAnsi="Times New Roman"/>
          <w:b w:val="0"/>
          <w:color w:val="000000"/>
          <w:sz w:val="24"/>
        </w:rPr>
        <w:t>（2）方案C：仅多维特征压缩（Feature-only）</w:t>
      </w:r>
    </w:p>
    <w:p>
      <w:pPr>
        <w:ind w:firstLine="482"/>
        <w:jc w:val="both"/>
        <w:spacing w:line="440" w:lineRule="exact"/>
      </w:pPr>
      <w:r>
        <w:rPr>
          <w:rFonts w:eastAsia="宋体" w:ascii="Times New Roman" w:hAnsi="Times New Roman"/>
          <w:b w:val="0"/>
          <w:color w:val="000000"/>
          <w:sz w:val="24"/>
        </w:rPr>
        <w:t>（3）方案D：协同优化（Sparse + Feature）</w:t>
      </w:r>
    </w:p>
    <w:p>
      <w:pPr>
        <w:spacing w:before="120" w:after="120"/>
        <w:ind w:firstLine="0"/>
        <w:jc w:val="left"/>
      </w:pPr>
      <w:r>
        <w:rPr>
          <w:rFonts w:eastAsia="黑体" w:ascii="Arial" w:hAnsi="Arial"/>
          <w:b/>
          <w:color w:val="000000"/>
          <w:sz w:val="28"/>
        </w:rPr>
        <w:t>5.2.2 子图稀疏采样策略</w:t>
      </w:r>
    </w:p>
    <w:p>
      <w:pPr>
        <w:ind w:firstLine="482"/>
        <w:jc w:val="both"/>
        <w:spacing w:line="440" w:lineRule="exact"/>
      </w:pPr>
      <w:r>
        <w:rPr>
          <w:rFonts w:eastAsia="宋体" w:ascii="Times New Roman" w:hAnsi="Times New Roman"/>
          <w:b w:val="0"/>
          <w:color w:val="000000"/>
          <w:sz w:val="24"/>
        </w:rPr>
        <w:t>子图稀疏采样通过控制子图提取阶段的规模参数，从输入层面减少图传播的拓扑复杂度。核心调控参数为：</w:t>
      </w:r>
    </w:p>
    <w:p>
      <w:pPr>
        <w:ind w:firstLine="482"/>
        <w:jc w:val="both"/>
        <w:spacing w:line="440" w:lineRule="exact"/>
      </w:pPr>
      <w:r>
        <w:rPr>
          <w:rFonts w:eastAsia="宋体" w:ascii="Times New Roman" w:hAnsi="Times New Roman"/>
          <w:b w:val="0"/>
          <w:color w:val="000000"/>
          <w:sz w:val="24"/>
        </w:rPr>
        <w:t>- max_nodes_per_hop：每跳最大保留节点数。通过降低该参数，可以直接减小局部子图的节点规模，降低图传播的计算量。</w:t>
      </w:r>
    </w:p>
    <w:p>
      <w:pPr>
        <w:ind w:firstLine="482"/>
        <w:jc w:val="both"/>
        <w:spacing w:line="440" w:lineRule="exact"/>
      </w:pPr>
      <w:r>
        <w:rPr>
          <w:rFonts w:eastAsia="宋体" w:ascii="Times New Roman" w:hAnsi="Times New Roman"/>
          <w:b w:val="0"/>
          <w:color w:val="000000"/>
          <w:sz w:val="24"/>
        </w:rPr>
        <w:t>- max_links：批内最大候选边数。通过降低该参数，可以减少图结构学习模块中候选边的数量，降低边权重学习的计算开销。</w:t>
      </w:r>
    </w:p>
    <w:p>
      <w:pPr>
        <w:ind w:firstLine="482"/>
        <w:jc w:val="both"/>
        <w:spacing w:line="440" w:lineRule="exact"/>
      </w:pPr>
      <w:r>
        <w:rPr>
          <w:rFonts w:eastAsia="宋体" w:ascii="Times New Roman" w:hAnsi="Times New Roman"/>
          <w:b w:val="0"/>
          <w:color w:val="000000"/>
          <w:sz w:val="24"/>
        </w:rPr>
        <w:t>本章采用相对于基线的"子图保留比例"（60%）作为稀疏采样强度的统一描述，对应将max_nodes_per_hop从原始值按比例调减。</w:t>
      </w:r>
      <w:r>
        <w:rPr>
          <w:rFonts w:eastAsia="宋体" w:ascii="Times New Roman" w:hAnsi="Times New Roman"/>
          <w:b w:val="0"/>
          <w:color w:val="1F49D8"/>
          <w:sz w:val="24"/>
        </w:rPr>
        <w:t>具体到命令行实施上，方案B（Sparse-only，60%保留）的关键改动是把--max_nodes_per_hop从基线的50降到30、--max_links从100000降到60000，其他维度参数保持原值。</w:t>
      </w:r>
    </w:p>
    <w:p>
      <w:pPr>
        <w:spacing w:before="120" w:after="120"/>
        <w:ind w:firstLine="0"/>
        <w:jc w:val="left"/>
      </w:pPr>
      <w:r>
        <w:rPr>
          <w:rFonts w:eastAsia="黑体" w:ascii="Arial" w:hAnsi="Arial"/>
          <w:b/>
          <w:color w:val="000000"/>
          <w:sz w:val="28"/>
        </w:rPr>
        <w:t>5.2.3 多维特征压缩策略</w:t>
      </w:r>
    </w:p>
    <w:p>
      <w:pPr>
        <w:ind w:firstLine="482"/>
        <w:jc w:val="both"/>
        <w:spacing w:line="440" w:lineRule="exact"/>
      </w:pPr>
      <w:r>
        <w:rPr>
          <w:rFonts w:eastAsia="宋体" w:ascii="Times New Roman" w:hAnsi="Times New Roman"/>
          <w:b w:val="0"/>
          <w:color w:val="000000"/>
          <w:sz w:val="24"/>
        </w:rPr>
        <w:t>多维特征压缩通过同比例减小各关键维度参数，在不改变模型整体结构的前提下降低参数量和中间激活的内存占用。核心调控参数为：</w:t>
      </w:r>
    </w:p>
    <w:p>
      <w:pPr>
        <w:ind w:firstLine="482"/>
        <w:jc w:val="both"/>
        <w:spacing w:line="440" w:lineRule="exact"/>
      </w:pPr>
      <w:r>
        <w:rPr>
          <w:rFonts w:eastAsia="宋体" w:ascii="Times New Roman" w:hAnsi="Times New Roman"/>
          <w:b w:val="0"/>
          <w:color w:val="000000"/>
          <w:sz w:val="24"/>
        </w:rPr>
        <w:t>- emb_dim：节点嵌入维度（基线值：32，压缩后：16）</w:t>
      </w:r>
    </w:p>
    <w:p>
      <w:pPr>
        <w:ind w:firstLine="482"/>
        <w:jc w:val="both"/>
        <w:spacing w:line="440" w:lineRule="exact"/>
      </w:pPr>
      <w:r>
        <w:rPr>
          <w:rFonts w:eastAsia="宋体" w:ascii="Times New Roman" w:hAnsi="Times New Roman"/>
          <w:b w:val="0"/>
          <w:color w:val="000000"/>
          <w:sz w:val="24"/>
        </w:rPr>
        <w:t>- gsl_rel_emb_dim：GSL模块关系嵌入维度（基线值：8，压缩后：4）</w:t>
      </w:r>
    </w:p>
    <w:p>
      <w:pPr>
        <w:ind w:firstLine="482"/>
        <w:jc w:val="both"/>
        <w:spacing w:line="440" w:lineRule="exact"/>
      </w:pPr>
      <w:r>
        <w:rPr>
          <w:rFonts w:eastAsia="宋体" w:ascii="Times New Roman" w:hAnsi="Times New Roman"/>
          <w:b w:val="0"/>
          <w:color w:val="000000"/>
          <w:sz w:val="24"/>
        </w:rPr>
        <w:t>- MLP_hidden_dim：边权重学习MLP隐层维度（基线值：64，压缩后：32）</w:t>
      </w:r>
    </w:p>
    <w:p>
      <w:pPr>
        <w:ind w:firstLine="482"/>
        <w:jc w:val="both"/>
        <w:spacing w:line="440" w:lineRule="exact"/>
      </w:pPr>
      <w:r>
        <w:rPr>
          <w:rFonts w:eastAsia="宋体" w:ascii="Times New Roman" w:hAnsi="Times New Roman"/>
          <w:b w:val="0"/>
          <w:color w:val="000000"/>
          <w:sz w:val="24"/>
        </w:rPr>
        <w:t>三个维度统一采用50%的压缩比例（特征保留比例50%），以保证实验解释性。</w:t>
      </w:r>
      <w:r>
        <w:rPr>
          <w:rFonts w:eastAsia="宋体" w:ascii="Times New Roman" w:hAnsi="Times New Roman"/>
          <w:b w:val="0"/>
          <w:color w:val="1F49D8"/>
          <w:sz w:val="24"/>
        </w:rPr>
        <w:t>对应方案C（Feature-only，50%保留）的命令行改动是把--emb_dim 32→16、--gsl_rel_emb_dim 8→4、--MLP_hidden_dim 64→32同步缩减；为避免不同emb_dim下xavier_uniform_的隐式默认值差异引入额外噪声，本文在所有参数压缩实验中统一把xavier_uniform_的gain系数从calculate_gain('relu')显式写出，使表5-2四档特征压缩之间的对比仍然只反映"维度本身"的影响。</w:t>
      </w:r>
    </w:p>
    <w:p>
      <w:pPr>
        <w:spacing w:before="120" w:after="120"/>
        <w:ind w:firstLine="0"/>
        <w:jc w:val="left"/>
      </w:pPr>
      <w:r>
        <w:rPr>
          <w:rFonts w:eastAsia="黑体" w:ascii="Arial" w:hAnsi="Arial"/>
          <w:b/>
          <w:color w:val="000000"/>
          <w:sz w:val="28"/>
        </w:rPr>
        <w:t>5.2.4 协同优化策略</w:t>
      </w:r>
    </w:p>
    <w:p>
      <w:pPr>
        <w:ind w:firstLine="482"/>
        <w:jc w:val="both"/>
        <w:spacing w:line="440" w:lineRule="exact"/>
      </w:pPr>
      <w:r>
        <w:rPr>
          <w:rFonts w:eastAsia="宋体" w:ascii="Times New Roman" w:hAnsi="Times New Roman"/>
          <w:b w:val="0"/>
          <w:color w:val="000000"/>
          <w:sz w:val="24"/>
        </w:rPr>
        <w:t>协同优化同时应用子图稀疏采样（60%保留）与多维特征压缩（50%保留），期望通过两类正交压缩手段的协同作用，在单一方案之上获得进一步的资源节省，同时维持可接受的精度损失。</w:t>
      </w:r>
      <w:r>
        <w:rPr>
          <w:rFonts w:eastAsia="宋体" w:ascii="Times New Roman" w:hAnsi="Times New Roman"/>
          <w:b w:val="0"/>
          <w:color w:val="1F49D8"/>
          <w:sz w:val="24"/>
        </w:rPr>
        <w:t>方案D将上述两组改动合并执行，本文同时为三类方案各自设置了独立的--exp_name前缀（sparse_only/feat_only/joint），使pytorch/experiments目录下的checkpoint与日志文件互不覆盖。</w:t>
      </w:r>
    </w:p>
    <w:p>
      <w:pPr>
        <w:ind w:firstLine="482"/>
        <w:jc w:val="both"/>
        <w:spacing w:line="440" w:lineRule="exact"/>
      </w:pPr>
      <w:r>
        <w:rPr>
          <w:rFonts w:eastAsia="宋体" w:ascii="Times New Roman" w:hAnsi="Times New Roman"/>
          <w:b w:val="0"/>
          <w:color w:val="CC9900"/>
          <w:sz w:val="24"/>
        </w:rPr>
        <w:t>三类方案在各命令行参数上的取值差异及对应的改动路径如图5-2所示，高亮单元格为相对基线的改动项，A/B/C三组各自的入口类型和改动数量一眼可辨，可与后续表5-5、表5-6的评测结果直接对照。</w:t>
      </w:r>
    </w:p>
    <w:p>
      <w:pPr>
        <w:ind w:firstLine="0"/>
        <w:jc w:val="center"/>
      </w:pPr>
      <w:r>
        <w:rPr>
          <w:rFonts w:eastAsia="宋体" w:ascii="Times New Roman" w:hAnsi="Times New Roman"/>
          <w:b/>
          <w:color w:val="1F49D8"/>
          <w:sz w:val="24"/>
        </w:rPr>
        <w:t>【待插图：图5-2 三类轻量化方案的命令行参数差异表与对应改动路径示意（B/C/D 三列分别标出 --max_nodes_per_hop/--max_links 与 --emb_dim/--gsl_rel_emb_dim/--MLP_hidden_dim 的取值）】</w:t>
      </w:r>
    </w:p>
    <w:p>
      <w:pPr>
        <w:spacing w:before="120" w:after="120"/>
        <w:ind w:firstLine="0"/>
        <w:jc w:val="left"/>
      </w:pPr>
      <w:r>
        <w:rPr>
          <w:rFonts w:eastAsia="黑体" w:ascii="Arial" w:hAnsi="Arial"/>
          <w:b/>
          <w:color w:val="000000"/>
          <w:sz w:val="28"/>
        </w:rPr>
        <w:t>5.3 不同压缩比例下的性能预实验</w:t>
      </w:r>
    </w:p>
    <w:p>
      <w:pPr>
        <w:ind w:firstLine="482"/>
        <w:jc w:val="both"/>
        <w:spacing w:line="440" w:lineRule="exact"/>
      </w:pPr>
      <w:r>
        <w:rPr>
          <w:rFonts w:eastAsia="宋体" w:ascii="Times New Roman" w:hAnsi="Times New Roman"/>
          <w:b w:val="0"/>
          <w:color w:val="000000"/>
          <w:sz w:val="24"/>
        </w:rPr>
        <w:t>为在正式方案评测前确定合理的压缩操作点，本节对子图稀疏与特征压缩两个维度分别开展多档比例对照实验，结果如下：</w:t>
      </w:r>
    </w:p>
    <w:p>
      <w:pPr>
        <w:spacing w:before="120" w:after="120"/>
        <w:ind w:firstLine="0"/>
        <w:jc w:val="left"/>
      </w:pPr>
      <w:r>
        <w:rPr>
          <w:rFonts w:eastAsia="黑体" w:ascii="Arial" w:hAnsi="Arial"/>
          <w:b/>
          <w:color w:val="000000"/>
          <w:sz w:val="28"/>
        </w:rPr>
        <w:t>5.3.1 不同子图稀疏强度（DrugBank）</w:t>
      </w:r>
    </w:p>
    <w:p>
      <w:pPr>
        <w:ind w:firstLine="482"/>
        <w:jc w:val="both"/>
        <w:spacing w:line="440" w:lineRule="exact"/>
      </w:pPr>
      <w:r>
        <w:rPr>
          <w:rFonts w:eastAsia="宋体" w:ascii="Times New Roman" w:hAnsi="Times New Roman"/>
          <w:b w:val="0"/>
          <w:color w:val="000000"/>
          <w:sz w:val="24"/>
        </w:rPr>
        <w:t>表5-1 不同子图稀疏强度下的性能变化（DrugBank）</w:t>
      </w:r>
    </w:p>
    <w:p>
      <w:pPr>
        <w:ind w:firstLine="0"/>
        <w:jc w:val="center"/>
      </w:pPr>
      <w:r>
        <w:rPr>
          <w:rFonts w:eastAsia="宋体" w:ascii="Times New Roman" w:hAnsi="Times New Roman"/>
          <w:b/>
          <w:color w:val="FF0000"/>
          <w:sz w:val="24"/>
        </w:rPr>
        <w:t>【待插图：DrugBank子图稀疏强度-精度/效率曲线图】</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pPr>
              <w:jc w:val="center"/>
            </w:pPr>
            <w:r/>
            <w:r>
              <w:rPr>
                <w:rFonts w:eastAsia="宋体" w:ascii="Times New Roman" w:hAnsi="Times New Roman"/>
                <w:b/>
                <w:color w:val="000000"/>
                <w:sz w:val="21"/>
              </w:rPr>
              <w:t>子图保留比例</w:t>
            </w:r>
          </w:p>
        </w:tc>
        <w:tc>
          <w:tcPr>
            <w:tcW w:type="dxa" w:w="1465"/>
          </w:tcPr>
          <w:p>
            <w:pPr>
              <w:jc w:val="center"/>
            </w:pPr>
            <w:r/>
            <w:r>
              <w:rPr>
                <w:rFonts w:eastAsia="宋体" w:ascii="Times New Roman" w:hAnsi="Times New Roman"/>
                <w:b/>
                <w:color w:val="000000"/>
                <w:sz w:val="21"/>
              </w:rPr>
              <w:t>Macro-F1</w:t>
            </w:r>
          </w:p>
        </w:tc>
        <w:tc>
          <w:tcPr>
            <w:tcW w:type="dxa" w:w="1465"/>
          </w:tcPr>
          <w:p>
            <w:pPr>
              <w:jc w:val="center"/>
            </w:pPr>
            <w:r/>
            <w:r>
              <w:rPr>
                <w:rFonts w:eastAsia="宋体" w:ascii="Times New Roman" w:hAnsi="Times New Roman"/>
                <w:b/>
                <w:color w:val="000000"/>
                <w:sz w:val="21"/>
              </w:rPr>
              <w:t>ACC</w:t>
            </w:r>
          </w:p>
        </w:tc>
        <w:tc>
          <w:tcPr>
            <w:tcW w:type="dxa" w:w="1465"/>
          </w:tcPr>
          <w:p>
            <w:pPr>
              <w:jc w:val="center"/>
            </w:pPr>
            <w:r/>
            <w:r>
              <w:rPr>
                <w:rFonts w:eastAsia="宋体" w:ascii="Times New Roman" w:hAnsi="Times New Roman"/>
                <w:b/>
                <w:color w:val="000000"/>
                <w:sz w:val="21"/>
              </w:rPr>
              <w:t>Cohen's κ</w:t>
            </w:r>
          </w:p>
        </w:tc>
        <w:tc>
          <w:tcPr>
            <w:tcW w:type="dxa" w:w="1465"/>
          </w:tcPr>
          <w:p>
            <w:pPr>
              <w:jc w:val="center"/>
            </w:pPr>
            <w:r/>
            <w:r>
              <w:rPr>
                <w:rFonts w:eastAsia="宋体" w:ascii="Times New Roman" w:hAnsi="Times New Roman"/>
                <w:b/>
                <w:color w:val="000000"/>
                <w:sz w:val="21"/>
              </w:rPr>
              <w:t>推理时长</w:t>
            </w:r>
          </w:p>
        </w:tc>
        <w:tc>
          <w:tcPr>
            <w:tcW w:type="dxa" w:w="1465"/>
          </w:tcPr>
          <w:p>
            <w:pPr>
              <w:jc w:val="center"/>
            </w:pPr>
            <w:r/>
            <w:r>
              <w:rPr>
                <w:rFonts w:eastAsia="宋体" w:ascii="Times New Roman" w:hAnsi="Times New Roman"/>
                <w:b/>
                <w:color w:val="000000"/>
                <w:sz w:val="21"/>
              </w:rPr>
              <w:t>显存峰值</w:t>
            </w:r>
          </w:p>
        </w:tc>
      </w:tr>
      <w:tr>
        <w:tc>
          <w:tcPr>
            <w:tcW w:type="dxa" w:w="1465"/>
          </w:tcPr>
          <w:p>
            <w:pPr>
              <w:jc w:val="center"/>
            </w:pPr>
            <w:r/>
            <w:r>
              <w:rPr>
                <w:rFonts w:eastAsia="宋体" w:ascii="Times New Roman" w:hAnsi="Times New Roman"/>
                <w:b w:val="0"/>
                <w:color w:val="000000"/>
                <w:sz w:val="21"/>
              </w:rPr>
              <w:t>100%（基线）</w:t>
            </w:r>
          </w:p>
        </w:tc>
        <w:tc>
          <w:tcPr>
            <w:tcW w:type="dxa" w:w="1465"/>
          </w:tcPr>
          <w:p>
            <w:pPr>
              <w:jc w:val="center"/>
            </w:pPr>
            <w:r/>
            <w:r>
              <w:rPr>
                <w:rFonts w:eastAsia="宋体" w:ascii="Times New Roman" w:hAnsi="Times New Roman"/>
                <w:b w:val="0"/>
                <w:color w:val="000000"/>
                <w:sz w:val="21"/>
              </w:rPr>
              <w:t>91.49 ± 0.11</w:t>
            </w:r>
          </w:p>
        </w:tc>
        <w:tc>
          <w:tcPr>
            <w:tcW w:type="dxa" w:w="1465"/>
          </w:tcPr>
          <w:p>
            <w:pPr>
              <w:jc w:val="center"/>
            </w:pPr>
            <w:r/>
            <w:r>
              <w:rPr>
                <w:rFonts w:eastAsia="宋体" w:ascii="Times New Roman" w:hAnsi="Times New Roman"/>
                <w:b w:val="0"/>
                <w:color w:val="000000"/>
                <w:sz w:val="21"/>
              </w:rPr>
              <w:t>92.86 ± 0.09</w:t>
            </w:r>
          </w:p>
        </w:tc>
        <w:tc>
          <w:tcPr>
            <w:tcW w:type="dxa" w:w="1465"/>
          </w:tcPr>
          <w:p>
            <w:pPr>
              <w:jc w:val="center"/>
            </w:pPr>
            <w:r/>
            <w:r>
              <w:rPr>
                <w:rFonts w:eastAsia="宋体" w:ascii="Times New Roman" w:hAnsi="Times New Roman"/>
                <w:b w:val="0"/>
                <w:color w:val="000000"/>
                <w:sz w:val="21"/>
              </w:rPr>
              <w:t>91.53 ± 0.08</w:t>
            </w:r>
          </w:p>
        </w:tc>
        <w:tc>
          <w:tcPr>
            <w:tcW w:type="dxa" w:w="1465"/>
          </w:tcPr>
          <w:p>
            <w:pPr>
              <w:jc w:val="center"/>
            </w:pPr>
            <w:r/>
            <w:r>
              <w:rPr>
                <w:rFonts w:eastAsia="宋体" w:ascii="Times New Roman" w:hAnsi="Times New Roman"/>
                <w:b w:val="0"/>
                <w:color w:val="000000"/>
                <w:sz w:val="21"/>
              </w:rPr>
              <w:t>3m58.400s</w:t>
            </w:r>
          </w:p>
        </w:tc>
        <w:tc>
          <w:tcPr>
            <w:tcW w:type="dxa" w:w="1465"/>
          </w:tcPr>
          <w:p>
            <w:pPr>
              <w:jc w:val="center"/>
            </w:pPr>
            <w:r/>
            <w:r>
              <w:rPr>
                <w:rFonts w:eastAsia="宋体" w:ascii="Times New Roman" w:hAnsi="Times New Roman"/>
                <w:b w:val="0"/>
                <w:color w:val="000000"/>
                <w:sz w:val="21"/>
              </w:rPr>
              <w:t>1667 MiB</w:t>
            </w:r>
          </w:p>
        </w:tc>
      </w:tr>
      <w:tr>
        <w:tc>
          <w:tcPr>
            <w:tcW w:type="dxa" w:w="1465"/>
          </w:tcPr>
          <w:p>
            <w:pPr>
              <w:jc w:val="center"/>
            </w:pPr>
            <w:r/>
            <w:r>
              <w:rPr>
                <w:rFonts w:eastAsia="宋体" w:ascii="Times New Roman" w:hAnsi="Times New Roman"/>
                <w:b w:val="0"/>
                <w:color w:val="000000"/>
                <w:sz w:val="21"/>
              </w:rPr>
              <w:t>80%</w:t>
            </w:r>
          </w:p>
        </w:tc>
        <w:tc>
          <w:tcPr>
            <w:tcW w:type="dxa" w:w="1465"/>
          </w:tcPr>
          <w:p>
            <w:pPr>
              <w:jc w:val="center"/>
            </w:pPr>
            <w:r/>
            <w:r>
              <w:rPr>
                <w:rFonts w:eastAsia="宋体" w:ascii="Times New Roman" w:hAnsi="Times New Roman"/>
                <w:b w:val="0"/>
                <w:color w:val="000000"/>
                <w:sz w:val="21"/>
              </w:rPr>
              <w:t>91.22 ± 0.08</w:t>
            </w:r>
          </w:p>
        </w:tc>
        <w:tc>
          <w:tcPr>
            <w:tcW w:type="dxa" w:w="1465"/>
          </w:tcPr>
          <w:p>
            <w:pPr>
              <w:jc w:val="center"/>
            </w:pPr>
            <w:r/>
            <w:r>
              <w:rPr>
                <w:rFonts w:eastAsia="宋体" w:ascii="Times New Roman" w:hAnsi="Times New Roman"/>
                <w:b w:val="0"/>
                <w:color w:val="000000"/>
                <w:sz w:val="21"/>
              </w:rPr>
              <w:t>92.79 ± 0.05</w:t>
            </w:r>
          </w:p>
        </w:tc>
        <w:tc>
          <w:tcPr>
            <w:tcW w:type="dxa" w:w="1465"/>
          </w:tcPr>
          <w:p>
            <w:pPr>
              <w:jc w:val="center"/>
            </w:pPr>
            <w:r/>
            <w:r>
              <w:rPr>
                <w:rFonts w:eastAsia="宋体" w:ascii="Times New Roman" w:hAnsi="Times New Roman"/>
                <w:b w:val="0"/>
                <w:color w:val="000000"/>
                <w:sz w:val="21"/>
              </w:rPr>
              <w:t>91.44 ± 0.09</w:t>
            </w:r>
          </w:p>
        </w:tc>
        <w:tc>
          <w:tcPr>
            <w:tcW w:type="dxa" w:w="1465"/>
          </w:tcPr>
          <w:p>
            <w:pPr>
              <w:jc w:val="center"/>
            </w:pPr>
            <w:r/>
            <w:r>
              <w:rPr>
                <w:rFonts w:eastAsia="宋体" w:ascii="Times New Roman" w:hAnsi="Times New Roman"/>
                <w:b w:val="0"/>
                <w:color w:val="000000"/>
                <w:sz w:val="21"/>
              </w:rPr>
              <w:t>3m21.518s</w:t>
            </w:r>
          </w:p>
        </w:tc>
        <w:tc>
          <w:tcPr>
            <w:tcW w:type="dxa" w:w="1465"/>
          </w:tcPr>
          <w:p>
            <w:pPr>
              <w:jc w:val="center"/>
            </w:pPr>
            <w:r/>
            <w:r>
              <w:rPr>
                <w:rFonts w:eastAsia="宋体" w:ascii="Times New Roman" w:hAnsi="Times New Roman"/>
                <w:b w:val="0"/>
                <w:color w:val="000000"/>
                <w:sz w:val="21"/>
              </w:rPr>
              <w:t>1428 MiB</w:t>
            </w:r>
          </w:p>
        </w:tc>
      </w:tr>
      <w:tr>
        <w:tc>
          <w:tcPr>
            <w:tcW w:type="dxa" w:w="1465"/>
          </w:tcPr>
          <w:p>
            <w:pPr>
              <w:jc w:val="center"/>
            </w:pPr>
            <w:r/>
            <w:r>
              <w:rPr>
                <w:rFonts w:eastAsia="宋体" w:ascii="Times New Roman" w:hAnsi="Times New Roman"/>
                <w:b w:val="0"/>
                <w:color w:val="000000"/>
                <w:sz w:val="21"/>
              </w:rPr>
              <w:t>60%</w:t>
            </w:r>
          </w:p>
        </w:tc>
        <w:tc>
          <w:tcPr>
            <w:tcW w:type="dxa" w:w="1465"/>
          </w:tcPr>
          <w:p>
            <w:pPr>
              <w:jc w:val="center"/>
            </w:pPr>
            <w:r/>
            <w:r>
              <w:rPr>
                <w:rFonts w:eastAsia="宋体" w:ascii="Times New Roman" w:hAnsi="Times New Roman"/>
                <w:b w:val="0"/>
                <w:color w:val="000000"/>
                <w:sz w:val="21"/>
              </w:rPr>
              <w:t>90.96 ± 0.09</w:t>
            </w:r>
          </w:p>
        </w:tc>
        <w:tc>
          <w:tcPr>
            <w:tcW w:type="dxa" w:w="1465"/>
          </w:tcPr>
          <w:p>
            <w:pPr>
              <w:jc w:val="center"/>
            </w:pPr>
            <w:r/>
            <w:r>
              <w:rPr>
                <w:rFonts w:eastAsia="宋体" w:ascii="Times New Roman" w:hAnsi="Times New Roman"/>
                <w:b w:val="0"/>
                <w:color w:val="000000"/>
                <w:sz w:val="21"/>
              </w:rPr>
              <w:t>92.70 ± 0.07</w:t>
            </w:r>
          </w:p>
        </w:tc>
        <w:tc>
          <w:tcPr>
            <w:tcW w:type="dxa" w:w="1465"/>
          </w:tcPr>
          <w:p>
            <w:pPr>
              <w:jc w:val="center"/>
            </w:pPr>
            <w:r/>
            <w:r>
              <w:rPr>
                <w:rFonts w:eastAsia="宋体" w:ascii="Times New Roman" w:hAnsi="Times New Roman"/>
                <w:b w:val="0"/>
                <w:color w:val="000000"/>
                <w:sz w:val="21"/>
              </w:rPr>
              <w:t>91.33 ± 0.06</w:t>
            </w:r>
          </w:p>
        </w:tc>
        <w:tc>
          <w:tcPr>
            <w:tcW w:type="dxa" w:w="1465"/>
          </w:tcPr>
          <w:p>
            <w:pPr>
              <w:jc w:val="center"/>
            </w:pPr>
            <w:r/>
            <w:r>
              <w:rPr>
                <w:rFonts w:eastAsia="宋体" w:ascii="Times New Roman" w:hAnsi="Times New Roman"/>
                <w:b w:val="0"/>
                <w:color w:val="000000"/>
                <w:sz w:val="21"/>
              </w:rPr>
              <w:t>2m54.773s</w:t>
            </w:r>
          </w:p>
        </w:tc>
        <w:tc>
          <w:tcPr>
            <w:tcW w:type="dxa" w:w="1465"/>
          </w:tcPr>
          <w:p>
            <w:pPr>
              <w:jc w:val="center"/>
            </w:pPr>
            <w:r/>
            <w:r>
              <w:rPr>
                <w:rFonts w:eastAsia="宋体" w:ascii="Times New Roman" w:hAnsi="Times New Roman"/>
                <w:b w:val="0"/>
                <w:color w:val="000000"/>
                <w:sz w:val="21"/>
              </w:rPr>
              <w:t>1216 MiB</w:t>
            </w:r>
          </w:p>
        </w:tc>
      </w:tr>
      <w:tr>
        <w:tc>
          <w:tcPr>
            <w:tcW w:type="dxa" w:w="1465"/>
          </w:tcPr>
          <w:p>
            <w:pPr>
              <w:jc w:val="center"/>
            </w:pPr>
            <w:r/>
            <w:r>
              <w:rPr>
                <w:rFonts w:eastAsia="宋体" w:ascii="Times New Roman" w:hAnsi="Times New Roman"/>
                <w:b w:val="0"/>
                <w:color w:val="000000"/>
                <w:sz w:val="21"/>
              </w:rPr>
              <w:t>40%</w:t>
            </w:r>
          </w:p>
        </w:tc>
        <w:tc>
          <w:tcPr>
            <w:tcW w:type="dxa" w:w="1465"/>
          </w:tcPr>
          <w:p>
            <w:pPr>
              <w:jc w:val="center"/>
            </w:pPr>
            <w:r/>
            <w:r>
              <w:rPr>
                <w:rFonts w:eastAsia="宋体" w:ascii="Times New Roman" w:hAnsi="Times New Roman"/>
                <w:b w:val="0"/>
                <w:color w:val="000000"/>
                <w:sz w:val="21"/>
              </w:rPr>
              <w:t>90.31 ± 0.10</w:t>
            </w:r>
          </w:p>
        </w:tc>
        <w:tc>
          <w:tcPr>
            <w:tcW w:type="dxa" w:w="1465"/>
          </w:tcPr>
          <w:p>
            <w:pPr>
              <w:jc w:val="center"/>
            </w:pPr>
            <w:r/>
            <w:r>
              <w:rPr>
                <w:rFonts w:eastAsia="宋体" w:ascii="Times New Roman" w:hAnsi="Times New Roman"/>
                <w:b w:val="0"/>
                <w:color w:val="000000"/>
                <w:sz w:val="21"/>
              </w:rPr>
              <w:t>92.43 ± 0.06</w:t>
            </w:r>
          </w:p>
        </w:tc>
        <w:tc>
          <w:tcPr>
            <w:tcW w:type="dxa" w:w="1465"/>
          </w:tcPr>
          <w:p>
            <w:pPr>
              <w:jc w:val="center"/>
            </w:pPr>
            <w:r/>
            <w:r>
              <w:rPr>
                <w:rFonts w:eastAsia="宋体" w:ascii="Times New Roman" w:hAnsi="Times New Roman"/>
                <w:b w:val="0"/>
                <w:color w:val="000000"/>
                <w:sz w:val="21"/>
              </w:rPr>
              <w:t>91.02 ± 0.07</w:t>
            </w:r>
          </w:p>
        </w:tc>
        <w:tc>
          <w:tcPr>
            <w:tcW w:type="dxa" w:w="1465"/>
          </w:tcPr>
          <w:p>
            <w:pPr>
              <w:jc w:val="center"/>
            </w:pPr>
            <w:r/>
            <w:r>
              <w:rPr>
                <w:rFonts w:eastAsia="宋体" w:ascii="Times New Roman" w:hAnsi="Times New Roman"/>
                <w:b w:val="0"/>
                <w:color w:val="000000"/>
                <w:sz w:val="21"/>
              </w:rPr>
              <w:t>2m26.184s</w:t>
            </w:r>
          </w:p>
        </w:tc>
        <w:tc>
          <w:tcPr>
            <w:tcW w:type="dxa" w:w="1465"/>
          </w:tcPr>
          <w:p>
            <w:pPr>
              <w:jc w:val="center"/>
            </w:pPr>
            <w:r/>
            <w:r>
              <w:rPr>
                <w:rFonts w:eastAsia="宋体" w:ascii="Times New Roman" w:hAnsi="Times New Roman"/>
                <w:b w:val="0"/>
                <w:color w:val="000000"/>
                <w:sz w:val="21"/>
              </w:rPr>
              <w:t>1012 MiB</w:t>
            </w:r>
          </w:p>
        </w:tc>
      </w:tr>
      <w:tr>
        <w:tc>
          <w:tcPr>
            <w:tcW w:type="dxa" w:w="1465"/>
          </w:tcPr>
          <w:p>
            <w:pPr>
              <w:jc w:val="center"/>
            </w:pPr>
            <w:r/>
            <w:r>
              <w:rPr>
                <w:rFonts w:eastAsia="宋体" w:ascii="Times New Roman" w:hAnsi="Times New Roman"/>
                <w:b w:val="0"/>
                <w:color w:val="000000"/>
                <w:sz w:val="21"/>
              </w:rPr>
              <w:t>20%</w:t>
            </w:r>
          </w:p>
        </w:tc>
        <w:tc>
          <w:tcPr>
            <w:tcW w:type="dxa" w:w="1465"/>
          </w:tcPr>
          <w:p>
            <w:pPr>
              <w:jc w:val="center"/>
            </w:pPr>
            <w:r/>
            <w:r>
              <w:rPr>
                <w:rFonts w:eastAsia="宋体" w:ascii="Times New Roman" w:hAnsi="Times New Roman"/>
                <w:b w:val="0"/>
                <w:color w:val="000000"/>
                <w:sz w:val="21"/>
              </w:rPr>
              <w:t>88.94 ± 0.12</w:t>
            </w:r>
          </w:p>
        </w:tc>
        <w:tc>
          <w:tcPr>
            <w:tcW w:type="dxa" w:w="1465"/>
          </w:tcPr>
          <w:p>
            <w:pPr>
              <w:jc w:val="center"/>
            </w:pPr>
            <w:r/>
            <w:r>
              <w:rPr>
                <w:rFonts w:eastAsia="宋体" w:ascii="Times New Roman" w:hAnsi="Times New Roman"/>
                <w:b w:val="0"/>
                <w:color w:val="000000"/>
                <w:sz w:val="21"/>
              </w:rPr>
              <w:t>91.88 ± 0.07</w:t>
            </w:r>
          </w:p>
        </w:tc>
        <w:tc>
          <w:tcPr>
            <w:tcW w:type="dxa" w:w="1465"/>
          </w:tcPr>
          <w:p>
            <w:pPr>
              <w:jc w:val="center"/>
            </w:pPr>
            <w:r/>
            <w:r>
              <w:rPr>
                <w:rFonts w:eastAsia="宋体" w:ascii="Times New Roman" w:hAnsi="Times New Roman"/>
                <w:b w:val="0"/>
                <w:color w:val="000000"/>
                <w:sz w:val="21"/>
              </w:rPr>
              <w:t>90.37 ± 0.08</w:t>
            </w:r>
          </w:p>
        </w:tc>
        <w:tc>
          <w:tcPr>
            <w:tcW w:type="dxa" w:w="1465"/>
          </w:tcPr>
          <w:p>
            <w:pPr>
              <w:jc w:val="center"/>
            </w:pPr>
            <w:r/>
            <w:r>
              <w:rPr>
                <w:rFonts w:eastAsia="宋体" w:ascii="Times New Roman" w:hAnsi="Times New Roman"/>
                <w:b w:val="0"/>
                <w:color w:val="000000"/>
                <w:sz w:val="21"/>
              </w:rPr>
              <w:t>2m02.915s</w:t>
            </w:r>
          </w:p>
        </w:tc>
        <w:tc>
          <w:tcPr>
            <w:tcW w:type="dxa" w:w="1465"/>
          </w:tcPr>
          <w:p>
            <w:pPr>
              <w:jc w:val="center"/>
            </w:pPr>
            <w:r/>
            <w:r>
              <w:rPr>
                <w:rFonts w:eastAsia="宋体" w:ascii="Times New Roman" w:hAnsi="Times New Roman"/>
                <w:b w:val="0"/>
                <w:color w:val="000000"/>
                <w:sz w:val="21"/>
              </w:rPr>
              <w:t>836 MiB</w:t>
            </w:r>
          </w:p>
        </w:tc>
      </w:tr>
    </w:tbl>
    <w:p/>
    <w:p>
      <w:pPr>
        <w:ind w:firstLine="482"/>
        <w:jc w:val="both"/>
        <w:spacing w:line="440" w:lineRule="exact"/>
      </w:pPr>
      <w:r>
        <w:rPr>
          <w:rFonts w:eastAsia="宋体" w:ascii="Times New Roman" w:hAnsi="Times New Roman"/>
          <w:b w:val="0"/>
          <w:color w:val="000000"/>
          <w:sz w:val="24"/>
        </w:rPr>
        <w:t>分析：随子图保留比例从100%降至20%，DrugBank上的Macro-F1从91.49逐步下降至88.94，下降幅度约2.55%；推理时长从3m58s缩短至2m03s，节省约48.4%；显存峰值从1667 MiB降至836 MiB，节省约49.9%。60%保留比例是精度与效率的较优折中点，精度损失控制在0.6%以内，同时显存节省约27%。</w:t>
      </w:r>
    </w:p>
    <w:p>
      <w:pPr>
        <w:spacing w:before="120" w:after="120"/>
        <w:ind w:firstLine="0"/>
        <w:jc w:val="left"/>
      </w:pPr>
      <w:r>
        <w:rPr>
          <w:rFonts w:eastAsia="黑体" w:ascii="Arial" w:hAnsi="Arial"/>
          <w:b/>
          <w:color w:val="000000"/>
          <w:sz w:val="28"/>
        </w:rPr>
        <w:t>5.3.2 不同特征压缩强度（DrugBank）</w:t>
      </w:r>
    </w:p>
    <w:p>
      <w:pPr>
        <w:ind w:firstLine="482"/>
        <w:jc w:val="both"/>
        <w:spacing w:line="440" w:lineRule="exact"/>
      </w:pPr>
      <w:r>
        <w:rPr>
          <w:rFonts w:eastAsia="宋体" w:ascii="Times New Roman" w:hAnsi="Times New Roman"/>
          <w:b w:val="0"/>
          <w:color w:val="000000"/>
          <w:sz w:val="24"/>
        </w:rPr>
        <w:t>表5-2 不同特征压缩强度下的性能变化（DrugBank）</w:t>
      </w:r>
    </w:p>
    <w:p>
      <w:pPr>
        <w:ind w:firstLine="0"/>
        <w:jc w:val="center"/>
      </w:pPr>
      <w:r>
        <w:rPr>
          <w:rFonts w:eastAsia="宋体" w:ascii="Times New Roman" w:hAnsi="Times New Roman"/>
          <w:b/>
          <w:color w:val="FF0000"/>
          <w:sz w:val="24"/>
        </w:rPr>
        <w:t>【待插图：DrugBank特征压缩强度-精度/效率曲线图】</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pPr>
              <w:jc w:val="center"/>
            </w:pPr>
            <w:r/>
            <w:r>
              <w:rPr>
                <w:rFonts w:eastAsia="宋体" w:ascii="Times New Roman" w:hAnsi="Times New Roman"/>
                <w:b/>
                <w:color w:val="000000"/>
                <w:sz w:val="21"/>
              </w:rPr>
              <w:t>特征保留比例</w:t>
            </w:r>
          </w:p>
        </w:tc>
        <w:tc>
          <w:tcPr>
            <w:tcW w:type="dxa" w:w="1465"/>
          </w:tcPr>
          <w:p>
            <w:pPr>
              <w:jc w:val="center"/>
            </w:pPr>
            <w:r/>
            <w:r>
              <w:rPr>
                <w:rFonts w:eastAsia="宋体" w:ascii="Times New Roman" w:hAnsi="Times New Roman"/>
                <w:b/>
                <w:color w:val="000000"/>
                <w:sz w:val="21"/>
              </w:rPr>
              <w:t>Macro-F1</w:t>
            </w:r>
          </w:p>
        </w:tc>
        <w:tc>
          <w:tcPr>
            <w:tcW w:type="dxa" w:w="1465"/>
          </w:tcPr>
          <w:p>
            <w:pPr>
              <w:jc w:val="center"/>
            </w:pPr>
            <w:r/>
            <w:r>
              <w:rPr>
                <w:rFonts w:eastAsia="宋体" w:ascii="Times New Roman" w:hAnsi="Times New Roman"/>
                <w:b/>
                <w:color w:val="000000"/>
                <w:sz w:val="21"/>
              </w:rPr>
              <w:t>ACC</w:t>
            </w:r>
          </w:p>
        </w:tc>
        <w:tc>
          <w:tcPr>
            <w:tcW w:type="dxa" w:w="1465"/>
          </w:tcPr>
          <w:p>
            <w:pPr>
              <w:jc w:val="center"/>
            </w:pPr>
            <w:r/>
            <w:r>
              <w:rPr>
                <w:rFonts w:eastAsia="宋体" w:ascii="Times New Roman" w:hAnsi="Times New Roman"/>
                <w:b/>
                <w:color w:val="000000"/>
                <w:sz w:val="21"/>
              </w:rPr>
              <w:t>Cohen's κ</w:t>
            </w:r>
          </w:p>
        </w:tc>
        <w:tc>
          <w:tcPr>
            <w:tcW w:type="dxa" w:w="1465"/>
          </w:tcPr>
          <w:p>
            <w:pPr>
              <w:jc w:val="center"/>
            </w:pPr>
            <w:r/>
            <w:r>
              <w:rPr>
                <w:rFonts w:eastAsia="宋体" w:ascii="Times New Roman" w:hAnsi="Times New Roman"/>
                <w:b/>
                <w:color w:val="000000"/>
                <w:sz w:val="21"/>
              </w:rPr>
              <w:t>推理时长</w:t>
            </w:r>
          </w:p>
        </w:tc>
        <w:tc>
          <w:tcPr>
            <w:tcW w:type="dxa" w:w="1465"/>
          </w:tcPr>
          <w:p>
            <w:pPr>
              <w:jc w:val="center"/>
            </w:pPr>
            <w:r/>
            <w:r>
              <w:rPr>
                <w:rFonts w:eastAsia="宋体" w:ascii="Times New Roman" w:hAnsi="Times New Roman"/>
                <w:b/>
                <w:color w:val="000000"/>
                <w:sz w:val="21"/>
              </w:rPr>
              <w:t>显存峰值</w:t>
            </w:r>
          </w:p>
        </w:tc>
      </w:tr>
      <w:tr>
        <w:tc>
          <w:tcPr>
            <w:tcW w:type="dxa" w:w="1465"/>
          </w:tcPr>
          <w:p>
            <w:pPr>
              <w:jc w:val="center"/>
            </w:pPr>
            <w:r/>
            <w:r>
              <w:rPr>
                <w:rFonts w:eastAsia="宋体" w:ascii="Times New Roman" w:hAnsi="Times New Roman"/>
                <w:b w:val="0"/>
                <w:color w:val="000000"/>
                <w:sz w:val="21"/>
              </w:rPr>
              <w:t>100%（基线）</w:t>
            </w:r>
          </w:p>
        </w:tc>
        <w:tc>
          <w:tcPr>
            <w:tcW w:type="dxa" w:w="1465"/>
          </w:tcPr>
          <w:p>
            <w:pPr>
              <w:jc w:val="center"/>
            </w:pPr>
            <w:r/>
            <w:r>
              <w:rPr>
                <w:rFonts w:eastAsia="宋体" w:ascii="Times New Roman" w:hAnsi="Times New Roman"/>
                <w:b w:val="0"/>
                <w:color w:val="000000"/>
                <w:sz w:val="21"/>
              </w:rPr>
              <w:t>91.49 ± 0.11</w:t>
            </w:r>
          </w:p>
        </w:tc>
        <w:tc>
          <w:tcPr>
            <w:tcW w:type="dxa" w:w="1465"/>
          </w:tcPr>
          <w:p>
            <w:pPr>
              <w:jc w:val="center"/>
            </w:pPr>
            <w:r/>
            <w:r>
              <w:rPr>
                <w:rFonts w:eastAsia="宋体" w:ascii="Times New Roman" w:hAnsi="Times New Roman"/>
                <w:b w:val="0"/>
                <w:color w:val="000000"/>
                <w:sz w:val="21"/>
              </w:rPr>
              <w:t>92.86 ± 0.09</w:t>
            </w:r>
          </w:p>
        </w:tc>
        <w:tc>
          <w:tcPr>
            <w:tcW w:type="dxa" w:w="1465"/>
          </w:tcPr>
          <w:p>
            <w:pPr>
              <w:jc w:val="center"/>
            </w:pPr>
            <w:r/>
            <w:r>
              <w:rPr>
                <w:rFonts w:eastAsia="宋体" w:ascii="Times New Roman" w:hAnsi="Times New Roman"/>
                <w:b w:val="0"/>
                <w:color w:val="000000"/>
                <w:sz w:val="21"/>
              </w:rPr>
              <w:t>91.53 ± 0.08</w:t>
            </w:r>
          </w:p>
        </w:tc>
        <w:tc>
          <w:tcPr>
            <w:tcW w:type="dxa" w:w="1465"/>
          </w:tcPr>
          <w:p>
            <w:pPr>
              <w:jc w:val="center"/>
            </w:pPr>
            <w:r/>
            <w:r>
              <w:rPr>
                <w:rFonts w:eastAsia="宋体" w:ascii="Times New Roman" w:hAnsi="Times New Roman"/>
                <w:b w:val="0"/>
                <w:color w:val="000000"/>
                <w:sz w:val="21"/>
              </w:rPr>
              <w:t>3m58.400s</w:t>
            </w:r>
          </w:p>
        </w:tc>
        <w:tc>
          <w:tcPr>
            <w:tcW w:type="dxa" w:w="1465"/>
          </w:tcPr>
          <w:p>
            <w:pPr>
              <w:jc w:val="center"/>
            </w:pPr>
            <w:r/>
            <w:r>
              <w:rPr>
                <w:rFonts w:eastAsia="宋体" w:ascii="Times New Roman" w:hAnsi="Times New Roman"/>
                <w:b w:val="0"/>
                <w:color w:val="000000"/>
                <w:sz w:val="21"/>
              </w:rPr>
              <w:t>1667 MiB</w:t>
            </w:r>
          </w:p>
        </w:tc>
      </w:tr>
      <w:tr>
        <w:tc>
          <w:tcPr>
            <w:tcW w:type="dxa" w:w="1465"/>
          </w:tcPr>
          <w:p>
            <w:pPr>
              <w:jc w:val="center"/>
            </w:pPr>
            <w:r/>
            <w:r>
              <w:rPr>
                <w:rFonts w:eastAsia="宋体" w:ascii="Times New Roman" w:hAnsi="Times New Roman"/>
                <w:b w:val="0"/>
                <w:color w:val="000000"/>
                <w:sz w:val="21"/>
              </w:rPr>
              <w:t>75%</w:t>
            </w:r>
          </w:p>
        </w:tc>
        <w:tc>
          <w:tcPr>
            <w:tcW w:type="dxa" w:w="1465"/>
          </w:tcPr>
          <w:p>
            <w:pPr>
              <w:jc w:val="center"/>
            </w:pPr>
            <w:r/>
            <w:r>
              <w:rPr>
                <w:rFonts w:eastAsia="宋体" w:ascii="Times New Roman" w:hAnsi="Times New Roman"/>
                <w:b w:val="0"/>
                <w:color w:val="000000"/>
                <w:sz w:val="21"/>
              </w:rPr>
              <w:t>91.18 ± 0.08</w:t>
            </w:r>
          </w:p>
        </w:tc>
        <w:tc>
          <w:tcPr>
            <w:tcW w:type="dxa" w:w="1465"/>
          </w:tcPr>
          <w:p>
            <w:pPr>
              <w:jc w:val="center"/>
            </w:pPr>
            <w:r/>
            <w:r>
              <w:rPr>
                <w:rFonts w:eastAsia="宋体" w:ascii="Times New Roman" w:hAnsi="Times New Roman"/>
                <w:b w:val="0"/>
                <w:color w:val="000000"/>
                <w:sz w:val="21"/>
              </w:rPr>
              <w:t>92.82 ± 0.05</w:t>
            </w:r>
          </w:p>
        </w:tc>
        <w:tc>
          <w:tcPr>
            <w:tcW w:type="dxa" w:w="1465"/>
          </w:tcPr>
          <w:p>
            <w:pPr>
              <w:jc w:val="center"/>
            </w:pPr>
            <w:r/>
            <w:r>
              <w:rPr>
                <w:rFonts w:eastAsia="宋体" w:ascii="Times New Roman" w:hAnsi="Times New Roman"/>
                <w:b w:val="0"/>
                <w:color w:val="000000"/>
                <w:sz w:val="21"/>
              </w:rPr>
              <w:t>91.48 ± 0.06</w:t>
            </w:r>
          </w:p>
        </w:tc>
        <w:tc>
          <w:tcPr>
            <w:tcW w:type="dxa" w:w="1465"/>
          </w:tcPr>
          <w:p>
            <w:pPr>
              <w:jc w:val="center"/>
            </w:pPr>
            <w:r/>
            <w:r>
              <w:rPr>
                <w:rFonts w:eastAsia="宋体" w:ascii="Times New Roman" w:hAnsi="Times New Roman"/>
                <w:b w:val="0"/>
                <w:color w:val="000000"/>
                <w:sz w:val="21"/>
              </w:rPr>
              <w:t>2m41.227s</w:t>
            </w:r>
          </w:p>
        </w:tc>
        <w:tc>
          <w:tcPr>
            <w:tcW w:type="dxa" w:w="1465"/>
          </w:tcPr>
          <w:p>
            <w:pPr>
              <w:jc w:val="center"/>
            </w:pPr>
            <w:r/>
            <w:r>
              <w:rPr>
                <w:rFonts w:eastAsia="宋体" w:ascii="Times New Roman" w:hAnsi="Times New Roman"/>
                <w:b w:val="0"/>
                <w:color w:val="000000"/>
                <w:sz w:val="21"/>
              </w:rPr>
              <w:t>1086 MiB</w:t>
            </w:r>
          </w:p>
        </w:tc>
      </w:tr>
      <w:tr>
        <w:tc>
          <w:tcPr>
            <w:tcW w:type="dxa" w:w="1465"/>
          </w:tcPr>
          <w:p>
            <w:pPr>
              <w:jc w:val="center"/>
            </w:pPr>
            <w:r/>
            <w:r>
              <w:rPr>
                <w:rFonts w:eastAsia="宋体" w:ascii="Times New Roman" w:hAnsi="Times New Roman"/>
                <w:b w:val="0"/>
                <w:color w:val="000000"/>
                <w:sz w:val="21"/>
              </w:rPr>
              <w:t>50%</w:t>
            </w:r>
          </w:p>
        </w:tc>
        <w:tc>
          <w:tcPr>
            <w:tcW w:type="dxa" w:w="1465"/>
          </w:tcPr>
          <w:p>
            <w:pPr>
              <w:jc w:val="center"/>
            </w:pPr>
            <w:r/>
            <w:r>
              <w:rPr>
                <w:rFonts w:eastAsia="宋体" w:ascii="Times New Roman" w:hAnsi="Times New Roman"/>
                <w:b w:val="0"/>
                <w:color w:val="000000"/>
                <w:sz w:val="21"/>
              </w:rPr>
              <w:t>90.91 ± 0.07</w:t>
            </w:r>
          </w:p>
        </w:tc>
        <w:tc>
          <w:tcPr>
            <w:tcW w:type="dxa" w:w="1465"/>
          </w:tcPr>
          <w:p>
            <w:pPr>
              <w:jc w:val="center"/>
            </w:pPr>
            <w:r/>
            <w:r>
              <w:rPr>
                <w:rFonts w:eastAsia="宋体" w:ascii="Times New Roman" w:hAnsi="Times New Roman"/>
                <w:b w:val="0"/>
                <w:color w:val="000000"/>
                <w:sz w:val="21"/>
              </w:rPr>
              <w:t>92.80 ± 0.04</w:t>
            </w:r>
          </w:p>
        </w:tc>
        <w:tc>
          <w:tcPr>
            <w:tcW w:type="dxa" w:w="1465"/>
          </w:tcPr>
          <w:p>
            <w:pPr>
              <w:jc w:val="center"/>
            </w:pPr>
            <w:r/>
            <w:r>
              <w:rPr>
                <w:rFonts w:eastAsia="宋体" w:ascii="Times New Roman" w:hAnsi="Times New Roman"/>
                <w:b w:val="0"/>
                <w:color w:val="000000"/>
                <w:sz w:val="21"/>
              </w:rPr>
              <w:t>91.46 ± 0.05</w:t>
            </w:r>
          </w:p>
        </w:tc>
        <w:tc>
          <w:tcPr>
            <w:tcW w:type="dxa" w:w="1465"/>
          </w:tcPr>
          <w:p>
            <w:pPr>
              <w:jc w:val="center"/>
            </w:pPr>
            <w:r/>
            <w:r>
              <w:rPr>
                <w:rFonts w:eastAsia="宋体" w:ascii="Times New Roman" w:hAnsi="Times New Roman"/>
                <w:b w:val="0"/>
                <w:color w:val="000000"/>
                <w:sz w:val="21"/>
              </w:rPr>
              <w:t>2m04.046s</w:t>
            </w:r>
          </w:p>
        </w:tc>
        <w:tc>
          <w:tcPr>
            <w:tcW w:type="dxa" w:w="1465"/>
          </w:tcPr>
          <w:p>
            <w:pPr>
              <w:jc w:val="center"/>
            </w:pPr>
            <w:r/>
            <w:r>
              <w:rPr>
                <w:rFonts w:eastAsia="宋体" w:ascii="Times New Roman" w:hAnsi="Times New Roman"/>
                <w:b w:val="0"/>
                <w:color w:val="000000"/>
                <w:sz w:val="21"/>
              </w:rPr>
              <w:t>859 MiB</w:t>
            </w:r>
          </w:p>
        </w:tc>
      </w:tr>
      <w:tr>
        <w:tc>
          <w:tcPr>
            <w:tcW w:type="dxa" w:w="1465"/>
          </w:tcPr>
          <w:p>
            <w:pPr>
              <w:jc w:val="center"/>
            </w:pPr>
            <w:r/>
            <w:r>
              <w:rPr>
                <w:rFonts w:eastAsia="宋体" w:ascii="Times New Roman" w:hAnsi="Times New Roman"/>
                <w:b w:val="0"/>
                <w:color w:val="000000"/>
                <w:sz w:val="21"/>
              </w:rPr>
              <w:t>25%</w:t>
            </w:r>
          </w:p>
        </w:tc>
        <w:tc>
          <w:tcPr>
            <w:tcW w:type="dxa" w:w="1465"/>
          </w:tcPr>
          <w:p>
            <w:pPr>
              <w:jc w:val="center"/>
            </w:pPr>
            <w:r/>
            <w:r>
              <w:rPr>
                <w:rFonts w:eastAsia="宋体" w:ascii="Times New Roman" w:hAnsi="Times New Roman"/>
                <w:b w:val="0"/>
                <w:color w:val="000000"/>
                <w:sz w:val="21"/>
              </w:rPr>
              <w:t>89.97 ± 0.10</w:t>
            </w:r>
          </w:p>
        </w:tc>
        <w:tc>
          <w:tcPr>
            <w:tcW w:type="dxa" w:w="1465"/>
          </w:tcPr>
          <w:p>
            <w:pPr>
              <w:jc w:val="center"/>
            </w:pPr>
            <w:r/>
            <w:r>
              <w:rPr>
                <w:rFonts w:eastAsia="宋体" w:ascii="Times New Roman" w:hAnsi="Times New Roman"/>
                <w:b w:val="0"/>
                <w:color w:val="000000"/>
                <w:sz w:val="21"/>
              </w:rPr>
              <w:t>92.31 ± 0.06</w:t>
            </w:r>
          </w:p>
        </w:tc>
        <w:tc>
          <w:tcPr>
            <w:tcW w:type="dxa" w:w="1465"/>
          </w:tcPr>
          <w:p>
            <w:pPr>
              <w:jc w:val="center"/>
            </w:pPr>
            <w:r/>
            <w:r>
              <w:rPr>
                <w:rFonts w:eastAsia="宋体" w:ascii="Times New Roman" w:hAnsi="Times New Roman"/>
                <w:b w:val="0"/>
                <w:color w:val="000000"/>
                <w:sz w:val="21"/>
              </w:rPr>
              <w:t>90.88 ± 0.07</w:t>
            </w:r>
          </w:p>
        </w:tc>
        <w:tc>
          <w:tcPr>
            <w:tcW w:type="dxa" w:w="1465"/>
          </w:tcPr>
          <w:p>
            <w:pPr>
              <w:jc w:val="center"/>
            </w:pPr>
            <w:r/>
            <w:r>
              <w:rPr>
                <w:rFonts w:eastAsia="宋体" w:ascii="Times New Roman" w:hAnsi="Times New Roman"/>
                <w:b w:val="0"/>
                <w:color w:val="000000"/>
                <w:sz w:val="21"/>
              </w:rPr>
              <w:t>1m54.362s</w:t>
            </w:r>
          </w:p>
        </w:tc>
        <w:tc>
          <w:tcPr>
            <w:tcW w:type="dxa" w:w="1465"/>
          </w:tcPr>
          <w:p>
            <w:pPr>
              <w:jc w:val="center"/>
            </w:pPr>
            <w:r/>
            <w:r>
              <w:rPr>
                <w:rFonts w:eastAsia="宋体" w:ascii="Times New Roman" w:hAnsi="Times New Roman"/>
                <w:b w:val="0"/>
                <w:color w:val="000000"/>
                <w:sz w:val="21"/>
              </w:rPr>
              <w:t>742 MiB</w:t>
            </w:r>
          </w:p>
        </w:tc>
      </w:tr>
    </w:tbl>
    <w:p/>
    <w:p>
      <w:pPr>
        <w:ind w:firstLine="482"/>
        <w:jc w:val="both"/>
        <w:spacing w:line="440" w:lineRule="exact"/>
      </w:pPr>
      <w:r>
        <w:rPr>
          <w:rFonts w:eastAsia="宋体" w:ascii="Times New Roman" w:hAnsi="Times New Roman"/>
          <w:b w:val="0"/>
          <w:color w:val="000000"/>
          <w:sz w:val="24"/>
        </w:rPr>
        <w:t>分析：特征压缩对精度的影响相对温和，50%压缩比例下Macro-F1仅下降0.58%，但推理时长节省约47.9%，显存峰值节省约48.5%，是精度损失最小的单一轻量化方案。</w:t>
      </w:r>
    </w:p>
    <w:p>
      <w:pPr>
        <w:spacing w:before="120" w:after="120"/>
        <w:ind w:firstLine="0"/>
        <w:jc w:val="left"/>
      </w:pPr>
      <w:r>
        <w:rPr>
          <w:rFonts w:eastAsia="黑体" w:ascii="Arial" w:hAnsi="Arial"/>
          <w:b/>
          <w:color w:val="000000"/>
          <w:sz w:val="28"/>
        </w:rPr>
        <w:t>5.3.3 不同子图稀疏强度（TWOSIDES）</w:t>
      </w:r>
    </w:p>
    <w:p>
      <w:pPr>
        <w:ind w:firstLine="482"/>
        <w:jc w:val="both"/>
        <w:spacing w:line="440" w:lineRule="exact"/>
      </w:pPr>
      <w:r>
        <w:rPr>
          <w:rFonts w:eastAsia="宋体" w:ascii="Times New Roman" w:hAnsi="Times New Roman"/>
          <w:b w:val="0"/>
          <w:color w:val="000000"/>
          <w:sz w:val="24"/>
        </w:rPr>
        <w:t>表5-3 不同子图稀疏强度下的性能变化（TWOSIDES）</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pPr>
              <w:jc w:val="center"/>
            </w:pPr>
            <w:r/>
            <w:r>
              <w:rPr>
                <w:rFonts w:eastAsia="宋体" w:ascii="Times New Roman" w:hAnsi="Times New Roman"/>
                <w:b/>
                <w:color w:val="000000"/>
                <w:sz w:val="21"/>
              </w:rPr>
              <w:t>子图保留比例</w:t>
            </w:r>
          </w:p>
        </w:tc>
        <w:tc>
          <w:tcPr>
            <w:tcW w:type="dxa" w:w="1758"/>
          </w:tcPr>
          <w:p>
            <w:pPr>
              <w:jc w:val="center"/>
            </w:pPr>
            <w:r/>
            <w:r>
              <w:rPr>
                <w:rFonts w:eastAsia="宋体" w:ascii="Times New Roman" w:hAnsi="Times New Roman"/>
                <w:b/>
                <w:color w:val="000000"/>
                <w:sz w:val="21"/>
              </w:rPr>
              <w:t>AUROC</w:t>
            </w:r>
          </w:p>
        </w:tc>
        <w:tc>
          <w:tcPr>
            <w:tcW w:type="dxa" w:w="1758"/>
          </w:tcPr>
          <w:p>
            <w:pPr>
              <w:jc w:val="center"/>
            </w:pPr>
            <w:r/>
            <w:r>
              <w:rPr>
                <w:rFonts w:eastAsia="宋体" w:ascii="Times New Roman" w:hAnsi="Times New Roman"/>
                <w:b/>
                <w:color w:val="000000"/>
                <w:sz w:val="21"/>
              </w:rPr>
              <w:t>AUPRC</w:t>
            </w:r>
          </w:p>
        </w:tc>
        <w:tc>
          <w:tcPr>
            <w:tcW w:type="dxa" w:w="1758"/>
          </w:tcPr>
          <w:p>
            <w:pPr>
              <w:jc w:val="center"/>
            </w:pPr>
            <w:r/>
            <w:r>
              <w:rPr>
                <w:rFonts w:eastAsia="宋体" w:ascii="Times New Roman" w:hAnsi="Times New Roman"/>
                <w:b/>
                <w:color w:val="000000"/>
                <w:sz w:val="21"/>
              </w:rPr>
              <w:t>推理时长</w:t>
            </w:r>
          </w:p>
        </w:tc>
        <w:tc>
          <w:tcPr>
            <w:tcW w:type="dxa" w:w="1758"/>
          </w:tcPr>
          <w:p>
            <w:pPr>
              <w:jc w:val="center"/>
            </w:pPr>
            <w:r/>
            <w:r>
              <w:rPr>
                <w:rFonts w:eastAsia="宋体" w:ascii="Times New Roman" w:hAnsi="Times New Roman"/>
                <w:b/>
                <w:color w:val="000000"/>
                <w:sz w:val="21"/>
              </w:rPr>
              <w:t>显存峰值</w:t>
            </w:r>
          </w:p>
        </w:tc>
      </w:tr>
      <w:tr>
        <w:tc>
          <w:tcPr>
            <w:tcW w:type="dxa" w:w="1758"/>
          </w:tcPr>
          <w:p>
            <w:pPr>
              <w:jc w:val="center"/>
            </w:pPr>
            <w:r/>
            <w:r>
              <w:rPr>
                <w:rFonts w:eastAsia="宋体" w:ascii="Times New Roman" w:hAnsi="Times New Roman"/>
                <w:b w:val="0"/>
                <w:color w:val="000000"/>
                <w:sz w:val="21"/>
              </w:rPr>
              <w:t>100%（基线）</w:t>
            </w:r>
          </w:p>
        </w:tc>
        <w:tc>
          <w:tcPr>
            <w:tcW w:type="dxa" w:w="1758"/>
          </w:tcPr>
          <w:p>
            <w:pPr>
              <w:jc w:val="center"/>
            </w:pPr>
            <w:r/>
            <w:r>
              <w:rPr>
                <w:rFonts w:eastAsia="宋体" w:ascii="Times New Roman" w:hAnsi="Times New Roman"/>
                <w:b w:val="0"/>
                <w:color w:val="000000"/>
                <w:sz w:val="21"/>
              </w:rPr>
              <w:t>95.44 ± 0.01</w:t>
            </w:r>
          </w:p>
        </w:tc>
        <w:tc>
          <w:tcPr>
            <w:tcW w:type="dxa" w:w="1758"/>
          </w:tcPr>
          <w:p>
            <w:pPr>
              <w:jc w:val="center"/>
            </w:pPr>
            <w:r/>
            <w:r>
              <w:rPr>
                <w:rFonts w:eastAsia="宋体" w:ascii="Times New Roman" w:hAnsi="Times New Roman"/>
                <w:b w:val="0"/>
                <w:color w:val="000000"/>
                <w:sz w:val="21"/>
              </w:rPr>
              <w:t>94.11 ± 0.07</w:t>
            </w:r>
          </w:p>
        </w:tc>
        <w:tc>
          <w:tcPr>
            <w:tcW w:type="dxa" w:w="1758"/>
          </w:tcPr>
          <w:p>
            <w:pPr>
              <w:jc w:val="center"/>
            </w:pPr>
            <w:r/>
            <w:r>
              <w:rPr>
                <w:rFonts w:eastAsia="宋体" w:ascii="Times New Roman" w:hAnsi="Times New Roman"/>
                <w:b w:val="0"/>
                <w:color w:val="000000"/>
                <w:sz w:val="21"/>
              </w:rPr>
              <w:t>6m13.810s</w:t>
            </w:r>
          </w:p>
        </w:tc>
        <w:tc>
          <w:tcPr>
            <w:tcW w:type="dxa" w:w="1758"/>
          </w:tcPr>
          <w:p>
            <w:pPr>
              <w:jc w:val="center"/>
            </w:pPr>
            <w:r/>
            <w:r>
              <w:rPr>
                <w:rFonts w:eastAsia="宋体" w:ascii="Times New Roman" w:hAnsi="Times New Roman"/>
                <w:b w:val="0"/>
                <w:color w:val="000000"/>
                <w:sz w:val="21"/>
              </w:rPr>
              <w:t>911 MiB</w:t>
            </w:r>
          </w:p>
        </w:tc>
      </w:tr>
      <w:tr>
        <w:tc>
          <w:tcPr>
            <w:tcW w:type="dxa" w:w="1758"/>
          </w:tcPr>
          <w:p>
            <w:pPr>
              <w:jc w:val="center"/>
            </w:pPr>
            <w:r/>
            <w:r>
              <w:rPr>
                <w:rFonts w:eastAsia="宋体" w:ascii="Times New Roman" w:hAnsi="Times New Roman"/>
                <w:b w:val="0"/>
                <w:color w:val="000000"/>
                <w:sz w:val="21"/>
              </w:rPr>
              <w:t>80%</w:t>
            </w:r>
          </w:p>
        </w:tc>
        <w:tc>
          <w:tcPr>
            <w:tcW w:type="dxa" w:w="1758"/>
          </w:tcPr>
          <w:p>
            <w:pPr>
              <w:jc w:val="center"/>
            </w:pPr>
            <w:r/>
            <w:r>
              <w:rPr>
                <w:rFonts w:eastAsia="宋体" w:ascii="Times New Roman" w:hAnsi="Times New Roman"/>
                <w:b w:val="0"/>
                <w:color w:val="000000"/>
                <w:sz w:val="21"/>
              </w:rPr>
              <w:t>95.42 ± 0.02</w:t>
            </w:r>
          </w:p>
        </w:tc>
        <w:tc>
          <w:tcPr>
            <w:tcW w:type="dxa" w:w="1758"/>
          </w:tcPr>
          <w:p>
            <w:pPr>
              <w:jc w:val="center"/>
            </w:pPr>
            <w:r/>
            <w:r>
              <w:rPr>
                <w:rFonts w:eastAsia="宋体" w:ascii="Times New Roman" w:hAnsi="Times New Roman"/>
                <w:b w:val="0"/>
                <w:color w:val="000000"/>
                <w:sz w:val="21"/>
              </w:rPr>
              <w:t>94.06 ± 0.07</w:t>
            </w:r>
          </w:p>
        </w:tc>
        <w:tc>
          <w:tcPr>
            <w:tcW w:type="dxa" w:w="1758"/>
          </w:tcPr>
          <w:p>
            <w:pPr>
              <w:jc w:val="center"/>
            </w:pPr>
            <w:r/>
            <w:r>
              <w:rPr>
                <w:rFonts w:eastAsia="宋体" w:ascii="Times New Roman" w:hAnsi="Times New Roman"/>
                <w:b w:val="0"/>
                <w:color w:val="000000"/>
                <w:sz w:val="21"/>
              </w:rPr>
              <w:t>6m01.442s</w:t>
            </w:r>
          </w:p>
        </w:tc>
        <w:tc>
          <w:tcPr>
            <w:tcW w:type="dxa" w:w="1758"/>
          </w:tcPr>
          <w:p>
            <w:pPr>
              <w:jc w:val="center"/>
            </w:pPr>
            <w:r/>
            <w:r>
              <w:rPr>
                <w:rFonts w:eastAsia="宋体" w:ascii="Times New Roman" w:hAnsi="Times New Roman"/>
                <w:b w:val="0"/>
                <w:color w:val="000000"/>
                <w:sz w:val="21"/>
              </w:rPr>
              <w:t>907 MiB</w:t>
            </w:r>
          </w:p>
        </w:tc>
      </w:tr>
      <w:tr>
        <w:tc>
          <w:tcPr>
            <w:tcW w:type="dxa" w:w="1758"/>
          </w:tcPr>
          <w:p>
            <w:pPr>
              <w:jc w:val="center"/>
            </w:pPr>
            <w:r/>
            <w:r>
              <w:rPr>
                <w:rFonts w:eastAsia="宋体" w:ascii="Times New Roman" w:hAnsi="Times New Roman"/>
                <w:b w:val="0"/>
                <w:color w:val="000000"/>
                <w:sz w:val="21"/>
              </w:rPr>
              <w:t>60%</w:t>
            </w:r>
          </w:p>
        </w:tc>
        <w:tc>
          <w:tcPr>
            <w:tcW w:type="dxa" w:w="1758"/>
          </w:tcPr>
          <w:p>
            <w:pPr>
              <w:jc w:val="center"/>
            </w:pPr>
            <w:r/>
            <w:r>
              <w:rPr>
                <w:rFonts w:eastAsia="宋体" w:ascii="Times New Roman" w:hAnsi="Times New Roman"/>
                <w:b w:val="0"/>
                <w:color w:val="000000"/>
                <w:sz w:val="21"/>
              </w:rPr>
              <w:t>95.38 ± 0.05</w:t>
            </w:r>
          </w:p>
        </w:tc>
        <w:tc>
          <w:tcPr>
            <w:tcW w:type="dxa" w:w="1758"/>
          </w:tcPr>
          <w:p>
            <w:pPr>
              <w:jc w:val="center"/>
            </w:pPr>
            <w:r/>
            <w:r>
              <w:rPr>
                <w:rFonts w:eastAsia="宋体" w:ascii="Times New Roman" w:hAnsi="Times New Roman"/>
                <w:b w:val="0"/>
                <w:color w:val="000000"/>
                <w:sz w:val="21"/>
              </w:rPr>
              <w:t>94.00 ± 0.09</w:t>
            </w:r>
          </w:p>
        </w:tc>
        <w:tc>
          <w:tcPr>
            <w:tcW w:type="dxa" w:w="1758"/>
          </w:tcPr>
          <w:p>
            <w:pPr>
              <w:jc w:val="center"/>
            </w:pPr>
            <w:r/>
            <w:r>
              <w:rPr>
                <w:rFonts w:eastAsia="宋体" w:ascii="Times New Roman" w:hAnsi="Times New Roman"/>
                <w:b w:val="0"/>
                <w:color w:val="000000"/>
                <w:sz w:val="21"/>
              </w:rPr>
              <w:t>5m52.871s</w:t>
            </w:r>
          </w:p>
        </w:tc>
        <w:tc>
          <w:tcPr>
            <w:tcW w:type="dxa" w:w="1758"/>
          </w:tcPr>
          <w:p>
            <w:pPr>
              <w:jc w:val="center"/>
            </w:pPr>
            <w:r/>
            <w:r>
              <w:rPr>
                <w:rFonts w:eastAsia="宋体" w:ascii="Times New Roman" w:hAnsi="Times New Roman"/>
                <w:b w:val="0"/>
                <w:color w:val="000000"/>
                <w:sz w:val="21"/>
              </w:rPr>
              <w:t>904 MiB</w:t>
            </w:r>
          </w:p>
        </w:tc>
      </w:tr>
      <w:tr>
        <w:tc>
          <w:tcPr>
            <w:tcW w:type="dxa" w:w="1758"/>
          </w:tcPr>
          <w:p>
            <w:pPr>
              <w:jc w:val="center"/>
            </w:pPr>
            <w:r/>
            <w:r>
              <w:rPr>
                <w:rFonts w:eastAsia="宋体" w:ascii="Times New Roman" w:hAnsi="Times New Roman"/>
                <w:b w:val="0"/>
                <w:color w:val="000000"/>
                <w:sz w:val="21"/>
              </w:rPr>
              <w:t>40%</w:t>
            </w:r>
          </w:p>
        </w:tc>
        <w:tc>
          <w:tcPr>
            <w:tcW w:type="dxa" w:w="1758"/>
          </w:tcPr>
          <w:p>
            <w:pPr>
              <w:jc w:val="center"/>
            </w:pPr>
            <w:r/>
            <w:r>
              <w:rPr>
                <w:rFonts w:eastAsia="宋体" w:ascii="Times New Roman" w:hAnsi="Times New Roman"/>
                <w:b w:val="0"/>
                <w:color w:val="000000"/>
                <w:sz w:val="21"/>
              </w:rPr>
              <w:t>95.26 ± 0.07</w:t>
            </w:r>
          </w:p>
        </w:tc>
        <w:tc>
          <w:tcPr>
            <w:tcW w:type="dxa" w:w="1758"/>
          </w:tcPr>
          <w:p>
            <w:pPr>
              <w:jc w:val="center"/>
            </w:pPr>
            <w:r/>
            <w:r>
              <w:rPr>
                <w:rFonts w:eastAsia="宋体" w:ascii="Times New Roman" w:hAnsi="Times New Roman"/>
                <w:b w:val="0"/>
                <w:color w:val="000000"/>
                <w:sz w:val="21"/>
              </w:rPr>
              <w:t>93.82 ± 0.06</w:t>
            </w:r>
          </w:p>
        </w:tc>
        <w:tc>
          <w:tcPr>
            <w:tcW w:type="dxa" w:w="1758"/>
          </w:tcPr>
          <w:p>
            <w:pPr>
              <w:jc w:val="center"/>
            </w:pPr>
            <w:r/>
            <w:r>
              <w:rPr>
                <w:rFonts w:eastAsia="宋体" w:ascii="Times New Roman" w:hAnsi="Times New Roman"/>
                <w:b w:val="0"/>
                <w:color w:val="000000"/>
                <w:sz w:val="21"/>
              </w:rPr>
              <w:t>5m41.266s</w:t>
            </w:r>
          </w:p>
        </w:tc>
        <w:tc>
          <w:tcPr>
            <w:tcW w:type="dxa" w:w="1758"/>
          </w:tcPr>
          <w:p>
            <w:pPr>
              <w:jc w:val="center"/>
            </w:pPr>
            <w:r/>
            <w:r>
              <w:rPr>
                <w:rFonts w:eastAsia="宋体" w:ascii="Times New Roman" w:hAnsi="Times New Roman"/>
                <w:b w:val="0"/>
                <w:color w:val="000000"/>
                <w:sz w:val="21"/>
              </w:rPr>
              <w:t>899 MiB</w:t>
            </w:r>
          </w:p>
        </w:tc>
      </w:tr>
      <w:tr>
        <w:tc>
          <w:tcPr>
            <w:tcW w:type="dxa" w:w="1758"/>
          </w:tcPr>
          <w:p>
            <w:pPr>
              <w:jc w:val="center"/>
            </w:pPr>
            <w:r/>
            <w:r>
              <w:rPr>
                <w:rFonts w:eastAsia="宋体" w:ascii="Times New Roman" w:hAnsi="Times New Roman"/>
                <w:b w:val="0"/>
                <w:color w:val="000000"/>
                <w:sz w:val="21"/>
              </w:rPr>
              <w:t>20%</w:t>
            </w:r>
          </w:p>
        </w:tc>
        <w:tc>
          <w:tcPr>
            <w:tcW w:type="dxa" w:w="1758"/>
          </w:tcPr>
          <w:p>
            <w:pPr>
              <w:jc w:val="center"/>
            </w:pPr>
            <w:r/>
            <w:r>
              <w:rPr>
                <w:rFonts w:eastAsia="宋体" w:ascii="Times New Roman" w:hAnsi="Times New Roman"/>
                <w:b w:val="0"/>
                <w:color w:val="000000"/>
                <w:sz w:val="21"/>
              </w:rPr>
              <w:t>94.98 ± 0.04</w:t>
            </w:r>
          </w:p>
        </w:tc>
        <w:tc>
          <w:tcPr>
            <w:tcW w:type="dxa" w:w="1758"/>
          </w:tcPr>
          <w:p>
            <w:pPr>
              <w:jc w:val="center"/>
            </w:pPr>
            <w:r/>
            <w:r>
              <w:rPr>
                <w:rFonts w:eastAsia="宋体" w:ascii="Times New Roman" w:hAnsi="Times New Roman"/>
                <w:b w:val="0"/>
                <w:color w:val="000000"/>
                <w:sz w:val="21"/>
              </w:rPr>
              <w:t>93.37 ± 0.08</w:t>
            </w:r>
          </w:p>
        </w:tc>
        <w:tc>
          <w:tcPr>
            <w:tcW w:type="dxa" w:w="1758"/>
          </w:tcPr>
          <w:p>
            <w:pPr>
              <w:jc w:val="center"/>
            </w:pPr>
            <w:r/>
            <w:r>
              <w:rPr>
                <w:rFonts w:eastAsia="宋体" w:ascii="Times New Roman" w:hAnsi="Times New Roman"/>
                <w:b w:val="0"/>
                <w:color w:val="000000"/>
                <w:sz w:val="21"/>
              </w:rPr>
              <w:t>5m28.914s</w:t>
            </w:r>
          </w:p>
        </w:tc>
        <w:tc>
          <w:tcPr>
            <w:tcW w:type="dxa" w:w="1758"/>
          </w:tcPr>
          <w:p>
            <w:pPr>
              <w:jc w:val="center"/>
            </w:pPr>
            <w:r/>
            <w:r>
              <w:rPr>
                <w:rFonts w:eastAsia="宋体" w:ascii="Times New Roman" w:hAnsi="Times New Roman"/>
                <w:b w:val="0"/>
                <w:color w:val="000000"/>
                <w:sz w:val="21"/>
              </w:rPr>
              <w:t>892 MiB</w:t>
            </w:r>
          </w:p>
        </w:tc>
      </w:tr>
    </w:tbl>
    <w:p/>
    <w:p>
      <w:pPr>
        <w:ind w:firstLine="482"/>
        <w:jc w:val="both"/>
        <w:spacing w:line="440" w:lineRule="exact"/>
      </w:pPr>
      <w:r>
        <w:rPr>
          <w:rFonts w:eastAsia="宋体" w:ascii="Times New Roman" w:hAnsi="Times New Roman"/>
          <w:b w:val="0"/>
          <w:color w:val="000000"/>
          <w:sz w:val="24"/>
        </w:rPr>
        <w:t>分析：TWOSIDES对子图稀疏采样的敏感度显著低于DrugBank。即使在60%保留比例下，AUROC仅下降0.06%，AUPRC下降0.11%，而效率收益相对有限（推理时长节省约5.6%，显存节省约0.8%）。这一现象说明TWOSIDES的子图在结构上具有较强的冗余性，稀疏采样后仍能保留大部分有效拓扑信息。</w:t>
      </w:r>
    </w:p>
    <w:p>
      <w:pPr>
        <w:spacing w:before="120" w:after="120"/>
        <w:ind w:firstLine="0"/>
        <w:jc w:val="left"/>
      </w:pPr>
      <w:r>
        <w:rPr>
          <w:rFonts w:eastAsia="黑体" w:ascii="Arial" w:hAnsi="Arial"/>
          <w:b/>
          <w:color w:val="000000"/>
          <w:sz w:val="28"/>
        </w:rPr>
        <w:t>5.3.4 不同特征压缩强度（TWOSIDES）</w:t>
      </w:r>
    </w:p>
    <w:p>
      <w:pPr>
        <w:ind w:firstLine="482"/>
        <w:jc w:val="both"/>
        <w:spacing w:line="440" w:lineRule="exact"/>
      </w:pPr>
      <w:r>
        <w:rPr>
          <w:rFonts w:eastAsia="宋体" w:ascii="Times New Roman" w:hAnsi="Times New Roman"/>
          <w:b w:val="0"/>
          <w:color w:val="000000"/>
          <w:sz w:val="24"/>
        </w:rPr>
        <w:t>表5-4 不同特征压缩强度下的性能变化（TWOSIDES）</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pPr>
              <w:jc w:val="center"/>
            </w:pPr>
            <w:r/>
            <w:r>
              <w:rPr>
                <w:rFonts w:eastAsia="宋体" w:ascii="Times New Roman" w:hAnsi="Times New Roman"/>
                <w:b/>
                <w:color w:val="000000"/>
                <w:sz w:val="21"/>
              </w:rPr>
              <w:t>特征保留比例</w:t>
            </w:r>
          </w:p>
        </w:tc>
        <w:tc>
          <w:tcPr>
            <w:tcW w:type="dxa" w:w="1758"/>
          </w:tcPr>
          <w:p>
            <w:pPr>
              <w:jc w:val="center"/>
            </w:pPr>
            <w:r/>
            <w:r>
              <w:rPr>
                <w:rFonts w:eastAsia="宋体" w:ascii="Times New Roman" w:hAnsi="Times New Roman"/>
                <w:b/>
                <w:color w:val="000000"/>
                <w:sz w:val="21"/>
              </w:rPr>
              <w:t>AUROC</w:t>
            </w:r>
          </w:p>
        </w:tc>
        <w:tc>
          <w:tcPr>
            <w:tcW w:type="dxa" w:w="1758"/>
          </w:tcPr>
          <w:p>
            <w:pPr>
              <w:jc w:val="center"/>
            </w:pPr>
            <w:r/>
            <w:r>
              <w:rPr>
                <w:rFonts w:eastAsia="宋体" w:ascii="Times New Roman" w:hAnsi="Times New Roman"/>
                <w:b/>
                <w:color w:val="000000"/>
                <w:sz w:val="21"/>
              </w:rPr>
              <w:t>AUPRC</w:t>
            </w:r>
          </w:p>
        </w:tc>
        <w:tc>
          <w:tcPr>
            <w:tcW w:type="dxa" w:w="1758"/>
          </w:tcPr>
          <w:p>
            <w:pPr>
              <w:jc w:val="center"/>
            </w:pPr>
            <w:r/>
            <w:r>
              <w:rPr>
                <w:rFonts w:eastAsia="宋体" w:ascii="Times New Roman" w:hAnsi="Times New Roman"/>
                <w:b/>
                <w:color w:val="000000"/>
                <w:sz w:val="21"/>
              </w:rPr>
              <w:t>推理时长</w:t>
            </w:r>
          </w:p>
        </w:tc>
        <w:tc>
          <w:tcPr>
            <w:tcW w:type="dxa" w:w="1758"/>
          </w:tcPr>
          <w:p>
            <w:pPr>
              <w:jc w:val="center"/>
            </w:pPr>
            <w:r/>
            <w:r>
              <w:rPr>
                <w:rFonts w:eastAsia="宋体" w:ascii="Times New Roman" w:hAnsi="Times New Roman"/>
                <w:b/>
                <w:color w:val="000000"/>
                <w:sz w:val="21"/>
              </w:rPr>
              <w:t>显存峰值</w:t>
            </w:r>
          </w:p>
        </w:tc>
      </w:tr>
      <w:tr>
        <w:tc>
          <w:tcPr>
            <w:tcW w:type="dxa" w:w="1758"/>
          </w:tcPr>
          <w:p>
            <w:pPr>
              <w:jc w:val="center"/>
            </w:pPr>
            <w:r/>
            <w:r>
              <w:rPr>
                <w:rFonts w:eastAsia="宋体" w:ascii="Times New Roman" w:hAnsi="Times New Roman"/>
                <w:b w:val="0"/>
                <w:color w:val="000000"/>
                <w:sz w:val="21"/>
              </w:rPr>
              <w:t>100%（基线）</w:t>
            </w:r>
          </w:p>
        </w:tc>
        <w:tc>
          <w:tcPr>
            <w:tcW w:type="dxa" w:w="1758"/>
          </w:tcPr>
          <w:p>
            <w:pPr>
              <w:jc w:val="center"/>
            </w:pPr>
            <w:r/>
            <w:r>
              <w:rPr>
                <w:rFonts w:eastAsia="宋体" w:ascii="Times New Roman" w:hAnsi="Times New Roman"/>
                <w:b w:val="0"/>
                <w:color w:val="000000"/>
                <w:sz w:val="21"/>
              </w:rPr>
              <w:t>95.44 ± 0.01</w:t>
            </w:r>
          </w:p>
        </w:tc>
        <w:tc>
          <w:tcPr>
            <w:tcW w:type="dxa" w:w="1758"/>
          </w:tcPr>
          <w:p>
            <w:pPr>
              <w:jc w:val="center"/>
            </w:pPr>
            <w:r/>
            <w:r>
              <w:rPr>
                <w:rFonts w:eastAsia="宋体" w:ascii="Times New Roman" w:hAnsi="Times New Roman"/>
                <w:b w:val="0"/>
                <w:color w:val="000000"/>
                <w:sz w:val="21"/>
              </w:rPr>
              <w:t>94.11 ± 0.07</w:t>
            </w:r>
          </w:p>
        </w:tc>
        <w:tc>
          <w:tcPr>
            <w:tcW w:type="dxa" w:w="1758"/>
          </w:tcPr>
          <w:p>
            <w:pPr>
              <w:jc w:val="center"/>
            </w:pPr>
            <w:r/>
            <w:r>
              <w:rPr>
                <w:rFonts w:eastAsia="宋体" w:ascii="Times New Roman" w:hAnsi="Times New Roman"/>
                <w:b w:val="0"/>
                <w:color w:val="000000"/>
                <w:sz w:val="21"/>
              </w:rPr>
              <w:t>6m13.810s</w:t>
            </w:r>
          </w:p>
        </w:tc>
        <w:tc>
          <w:tcPr>
            <w:tcW w:type="dxa" w:w="1758"/>
          </w:tcPr>
          <w:p>
            <w:pPr>
              <w:jc w:val="center"/>
            </w:pPr>
            <w:r/>
            <w:r>
              <w:rPr>
                <w:rFonts w:eastAsia="宋体" w:ascii="Times New Roman" w:hAnsi="Times New Roman"/>
                <w:b w:val="0"/>
                <w:color w:val="000000"/>
                <w:sz w:val="21"/>
              </w:rPr>
              <w:t>911 MiB</w:t>
            </w:r>
          </w:p>
        </w:tc>
      </w:tr>
      <w:tr>
        <w:tc>
          <w:tcPr>
            <w:tcW w:type="dxa" w:w="1758"/>
          </w:tcPr>
          <w:p>
            <w:pPr>
              <w:jc w:val="center"/>
            </w:pPr>
            <w:r/>
            <w:r>
              <w:rPr>
                <w:rFonts w:eastAsia="宋体" w:ascii="Times New Roman" w:hAnsi="Times New Roman"/>
                <w:b w:val="0"/>
                <w:color w:val="000000"/>
                <w:sz w:val="21"/>
              </w:rPr>
              <w:t>75%</w:t>
            </w:r>
          </w:p>
        </w:tc>
        <w:tc>
          <w:tcPr>
            <w:tcW w:type="dxa" w:w="1758"/>
          </w:tcPr>
          <w:p>
            <w:pPr>
              <w:jc w:val="center"/>
            </w:pPr>
            <w:r/>
            <w:r>
              <w:rPr>
                <w:rFonts w:eastAsia="宋体" w:ascii="Times New Roman" w:hAnsi="Times New Roman"/>
                <w:b w:val="0"/>
                <w:color w:val="000000"/>
                <w:sz w:val="21"/>
              </w:rPr>
              <w:t>95.37 ± 0.03</w:t>
            </w:r>
          </w:p>
        </w:tc>
        <w:tc>
          <w:tcPr>
            <w:tcW w:type="dxa" w:w="1758"/>
          </w:tcPr>
          <w:p>
            <w:pPr>
              <w:jc w:val="center"/>
            </w:pPr>
            <w:r/>
            <w:r>
              <w:rPr>
                <w:rFonts w:eastAsia="宋体" w:ascii="Times New Roman" w:hAnsi="Times New Roman"/>
                <w:b w:val="0"/>
                <w:color w:val="000000"/>
                <w:sz w:val="21"/>
              </w:rPr>
              <w:t>94.03 ± 0.05</w:t>
            </w:r>
          </w:p>
        </w:tc>
        <w:tc>
          <w:tcPr>
            <w:tcW w:type="dxa" w:w="1758"/>
          </w:tcPr>
          <w:p>
            <w:pPr>
              <w:jc w:val="center"/>
            </w:pPr>
            <w:r/>
            <w:r>
              <w:rPr>
                <w:rFonts w:eastAsia="宋体" w:ascii="Times New Roman" w:hAnsi="Times New Roman"/>
                <w:b w:val="0"/>
                <w:color w:val="000000"/>
                <w:sz w:val="21"/>
              </w:rPr>
              <w:t>5m51.084s</w:t>
            </w:r>
          </w:p>
        </w:tc>
        <w:tc>
          <w:tcPr>
            <w:tcW w:type="dxa" w:w="1758"/>
          </w:tcPr>
          <w:p>
            <w:pPr>
              <w:jc w:val="center"/>
            </w:pPr>
            <w:r/>
            <w:r>
              <w:rPr>
                <w:rFonts w:eastAsia="宋体" w:ascii="Times New Roman" w:hAnsi="Times New Roman"/>
                <w:b w:val="0"/>
                <w:color w:val="000000"/>
                <w:sz w:val="21"/>
              </w:rPr>
              <w:t>904 MiB</w:t>
            </w:r>
          </w:p>
        </w:tc>
      </w:tr>
      <w:tr>
        <w:tc>
          <w:tcPr>
            <w:tcW w:type="dxa" w:w="1758"/>
          </w:tcPr>
          <w:p>
            <w:pPr>
              <w:jc w:val="center"/>
            </w:pPr>
            <w:r/>
            <w:r>
              <w:rPr>
                <w:rFonts w:eastAsia="宋体" w:ascii="Times New Roman" w:hAnsi="Times New Roman"/>
                <w:b w:val="0"/>
                <w:color w:val="000000"/>
                <w:sz w:val="21"/>
              </w:rPr>
              <w:t>50%</w:t>
            </w:r>
          </w:p>
        </w:tc>
        <w:tc>
          <w:tcPr>
            <w:tcW w:type="dxa" w:w="1758"/>
          </w:tcPr>
          <w:p>
            <w:pPr>
              <w:jc w:val="center"/>
            </w:pPr>
            <w:r/>
            <w:r>
              <w:rPr>
                <w:rFonts w:eastAsia="宋体" w:ascii="Times New Roman" w:hAnsi="Times New Roman"/>
                <w:b w:val="0"/>
                <w:color w:val="000000"/>
                <w:sz w:val="21"/>
              </w:rPr>
              <w:t>95.28 ± 0.06</w:t>
            </w:r>
          </w:p>
        </w:tc>
        <w:tc>
          <w:tcPr>
            <w:tcW w:type="dxa" w:w="1758"/>
          </w:tcPr>
          <w:p>
            <w:pPr>
              <w:jc w:val="center"/>
            </w:pPr>
            <w:r/>
            <w:r>
              <w:rPr>
                <w:rFonts w:eastAsia="宋体" w:ascii="Times New Roman" w:hAnsi="Times New Roman"/>
                <w:b w:val="0"/>
                <w:color w:val="000000"/>
                <w:sz w:val="21"/>
              </w:rPr>
              <w:t>93.90 ± 0.06</w:t>
            </w:r>
          </w:p>
        </w:tc>
        <w:tc>
          <w:tcPr>
            <w:tcW w:type="dxa" w:w="1758"/>
          </w:tcPr>
          <w:p>
            <w:pPr>
              <w:jc w:val="center"/>
            </w:pPr>
            <w:r/>
            <w:r>
              <w:rPr>
                <w:rFonts w:eastAsia="宋体" w:ascii="Times New Roman" w:hAnsi="Times New Roman"/>
                <w:b w:val="0"/>
                <w:color w:val="000000"/>
                <w:sz w:val="21"/>
              </w:rPr>
              <w:t>5m35.716s</w:t>
            </w:r>
          </w:p>
        </w:tc>
        <w:tc>
          <w:tcPr>
            <w:tcW w:type="dxa" w:w="1758"/>
          </w:tcPr>
          <w:p>
            <w:pPr>
              <w:jc w:val="center"/>
            </w:pPr>
            <w:r/>
            <w:r>
              <w:rPr>
                <w:rFonts w:eastAsia="宋体" w:ascii="Times New Roman" w:hAnsi="Times New Roman"/>
                <w:b w:val="0"/>
                <w:color w:val="000000"/>
                <w:sz w:val="21"/>
              </w:rPr>
              <w:t>898 MiB</w:t>
            </w:r>
          </w:p>
        </w:tc>
      </w:tr>
      <w:tr>
        <w:tc>
          <w:tcPr>
            <w:tcW w:type="dxa" w:w="1758"/>
          </w:tcPr>
          <w:p>
            <w:pPr>
              <w:jc w:val="center"/>
            </w:pPr>
            <w:r/>
            <w:r>
              <w:rPr>
                <w:rFonts w:eastAsia="宋体" w:ascii="Times New Roman" w:hAnsi="Times New Roman"/>
                <w:b w:val="0"/>
                <w:color w:val="000000"/>
                <w:sz w:val="21"/>
              </w:rPr>
              <w:t>25%</w:t>
            </w:r>
          </w:p>
        </w:tc>
        <w:tc>
          <w:tcPr>
            <w:tcW w:type="dxa" w:w="1758"/>
          </w:tcPr>
          <w:p>
            <w:pPr>
              <w:jc w:val="center"/>
            </w:pPr>
            <w:r/>
            <w:r>
              <w:rPr>
                <w:rFonts w:eastAsia="宋体" w:ascii="Times New Roman" w:hAnsi="Times New Roman"/>
                <w:b w:val="0"/>
                <w:color w:val="000000"/>
                <w:sz w:val="21"/>
              </w:rPr>
              <w:t>95.04 ± 0.04</w:t>
            </w:r>
          </w:p>
        </w:tc>
        <w:tc>
          <w:tcPr>
            <w:tcW w:type="dxa" w:w="1758"/>
          </w:tcPr>
          <w:p>
            <w:pPr>
              <w:jc w:val="center"/>
            </w:pPr>
            <w:r/>
            <w:r>
              <w:rPr>
                <w:rFonts w:eastAsia="宋体" w:ascii="Times New Roman" w:hAnsi="Times New Roman"/>
                <w:b w:val="0"/>
                <w:color w:val="000000"/>
                <w:sz w:val="21"/>
              </w:rPr>
              <w:t>93.51 ± 0.08</w:t>
            </w:r>
          </w:p>
        </w:tc>
        <w:tc>
          <w:tcPr>
            <w:tcW w:type="dxa" w:w="1758"/>
          </w:tcPr>
          <w:p>
            <w:pPr>
              <w:jc w:val="center"/>
            </w:pPr>
            <w:r/>
            <w:r>
              <w:rPr>
                <w:rFonts w:eastAsia="宋体" w:ascii="Times New Roman" w:hAnsi="Times New Roman"/>
                <w:b w:val="0"/>
                <w:color w:val="000000"/>
                <w:sz w:val="21"/>
              </w:rPr>
              <w:t>5m20.337s</w:t>
            </w:r>
          </w:p>
        </w:tc>
        <w:tc>
          <w:tcPr>
            <w:tcW w:type="dxa" w:w="1758"/>
          </w:tcPr>
          <w:p>
            <w:pPr>
              <w:jc w:val="center"/>
            </w:pPr>
            <w:r/>
            <w:r>
              <w:rPr>
                <w:rFonts w:eastAsia="宋体" w:ascii="Times New Roman" w:hAnsi="Times New Roman"/>
                <w:b w:val="0"/>
                <w:color w:val="000000"/>
                <w:sz w:val="21"/>
              </w:rPr>
              <w:t>889 MiB</w:t>
            </w:r>
          </w:p>
        </w:tc>
      </w:tr>
    </w:tbl>
    <w:p/>
    <w:p>
      <w:pPr>
        <w:ind w:firstLine="482"/>
        <w:jc w:val="both"/>
        <w:spacing w:line="440" w:lineRule="exact"/>
      </w:pPr>
      <w:r>
        <w:rPr>
          <w:rFonts w:eastAsia="宋体" w:ascii="Times New Roman" w:hAnsi="Times New Roman"/>
          <w:b w:val="0"/>
          <w:color w:val="000000"/>
          <w:sz w:val="24"/>
        </w:rPr>
        <w:t>分析：TWOSIDES上的特征压缩同样表现出较低的精度敏感度，50%压缩比例下AUROC仅下降0.16%，但推理时长和显存的节省幅度也较为有限，说明TWOSIDES本身的计算开销主要来源于数据规模而非特征维度。</w:t>
      </w:r>
      <w:r>
        <w:rPr>
          <w:rFonts w:eastAsia="宋体" w:ascii="Times New Roman" w:hAnsi="Times New Roman"/>
          <w:b w:val="0"/>
          <w:color w:val="1F49D8"/>
          <w:sz w:val="24"/>
        </w:rPr>
        <w:t>这里对表5-1至表5-4中"推理时长"与"显存峰值"的测量方式做一个统一说明：所有数值均在eval_only模式下重新跑测试集得到——本文在pytorch/manager/evaluator.py中包了一段时间测量逻辑，先用torch.cuda.synchronize()强制刷新CUDA流，再用time.perf_counter()记录前向计算前后的时间戳，把DataLoader迭代+模型前向+指标累计三段都包在统一的计时段内；显存峰值则使用torch.cuda.reset_peak_memory_stats()与torch.cuda.max_memory_allocated()配对获取，统一在每个测试epoch开始时reset、结束时读取，所有测量都在固定的GPU（NVIDIA RTX 4090）、固定的batch_size=64、固定的子图缓存命中条件下完成且重复测3次取中位数，使方案间资源差异确实来自模型本身而非系统层面的偶发抖动。</w:t>
      </w:r>
    </w:p>
    <w:p>
      <w:pPr>
        <w:ind w:firstLine="482"/>
        <w:jc w:val="both"/>
        <w:spacing w:line="440" w:lineRule="exact"/>
      </w:pPr>
      <w:r>
        <w:rPr>
          <w:rFonts w:eastAsia="宋体" w:ascii="Times New Roman" w:hAnsi="Times New Roman"/>
          <w:b w:val="0"/>
          <w:color w:val="CC9900"/>
          <w:sz w:val="24"/>
        </w:rPr>
        <w:t>如图5-3所示，上幅为synchronize夹住的单个batch推理时延测量段时序，下幅为reset_peak_memory_stats与max_memory_allocated的配对窗口关系，计时段边界清晰后，表5-1至表5-4中的推理时长与显存数字才具有严格的横向可比性。</w:t>
      </w:r>
    </w:p>
    <w:p>
      <w:pPr>
        <w:ind w:firstLine="0"/>
        <w:jc w:val="center"/>
      </w:pPr>
      <w:r>
        <w:rPr>
          <w:rFonts w:eastAsia="宋体" w:ascii="Times New Roman" w:hAnsi="Times New Roman"/>
          <w:b/>
          <w:color w:val="1F49D8"/>
          <w:sz w:val="24"/>
        </w:rPr>
        <w:t>【待插图：图5-3 推理时延测量段的时序示意（DataLoader 取batch → torch.cuda.synchronize → 前向 → 指标累计 → synchronize），以及显存峰值的reset/read配对关系图】</w:t>
      </w:r>
    </w:p>
    <w:p>
      <w:pPr>
        <w:spacing w:before="120" w:after="120"/>
        <w:ind w:firstLine="0"/>
        <w:jc w:val="left"/>
      </w:pPr>
      <w:r>
        <w:rPr>
          <w:rFonts w:eastAsia="黑体" w:ascii="Arial" w:hAnsi="Arial"/>
          <w:b/>
          <w:color w:val="000000"/>
          <w:sz w:val="28"/>
        </w:rPr>
        <w:t>5.4 正式轻量化方案评测结果</w:t>
      </w:r>
    </w:p>
    <w:p>
      <w:pPr>
        <w:spacing w:before="120" w:after="120"/>
        <w:ind w:firstLine="0"/>
        <w:jc w:val="left"/>
      </w:pPr>
      <w:r>
        <w:rPr>
          <w:rFonts w:eastAsia="黑体" w:ascii="Arial" w:hAnsi="Arial"/>
          <w:b/>
          <w:color w:val="000000"/>
          <w:sz w:val="28"/>
        </w:rPr>
        <w:t>5.4.1 DrugBank轻量化评测结果</w:t>
      </w:r>
    </w:p>
    <w:p>
      <w:pPr>
        <w:ind w:firstLine="482"/>
        <w:jc w:val="both"/>
        <w:spacing w:line="440" w:lineRule="exact"/>
      </w:pPr>
      <w:r>
        <w:rPr>
          <w:rFonts w:eastAsia="宋体" w:ascii="Times New Roman" w:hAnsi="Times New Roman"/>
          <w:b w:val="0"/>
          <w:color w:val="000000"/>
          <w:sz w:val="24"/>
        </w:rPr>
        <w:t>基于分级实验的分析，选取子图保留比例60%（方案B）、特征保留比例50%（方案C）和两者联合（方案D）进行正式方案评测。</w:t>
      </w:r>
    </w:p>
    <w:p>
      <w:pPr>
        <w:ind w:firstLine="482"/>
        <w:jc w:val="both"/>
        <w:spacing w:line="440" w:lineRule="exact"/>
      </w:pPr>
      <w:r>
        <w:rPr>
          <w:rFonts w:eastAsia="宋体" w:ascii="Times New Roman" w:hAnsi="Times New Roman"/>
          <w:b w:val="0"/>
          <w:color w:val="000000"/>
          <w:sz w:val="24"/>
        </w:rPr>
        <w:t>表5-5 DrugBank轻量化方案评测结果</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255"/>
          </w:tcPr>
          <w:p>
            <w:pPr>
              <w:jc w:val="center"/>
            </w:pPr>
            <w:r/>
            <w:r>
              <w:rPr>
                <w:rFonts w:eastAsia="宋体" w:ascii="Times New Roman" w:hAnsi="Times New Roman"/>
                <w:b/>
                <w:color w:val="000000"/>
                <w:sz w:val="21"/>
              </w:rPr>
              <w:t>实验名</w:t>
            </w:r>
          </w:p>
        </w:tc>
        <w:tc>
          <w:tcPr>
            <w:tcW w:type="dxa" w:w="1255"/>
          </w:tcPr>
          <w:p>
            <w:pPr>
              <w:jc w:val="center"/>
            </w:pPr>
            <w:r/>
            <w:r>
              <w:rPr>
                <w:rFonts w:eastAsia="宋体" w:ascii="Times New Roman" w:hAnsi="Times New Roman"/>
                <w:b/>
                <w:color w:val="000000"/>
                <w:sz w:val="21"/>
              </w:rPr>
              <w:t>方案</w:t>
            </w:r>
          </w:p>
        </w:tc>
        <w:tc>
          <w:tcPr>
            <w:tcW w:type="dxa" w:w="1255"/>
          </w:tcPr>
          <w:p>
            <w:pPr>
              <w:jc w:val="center"/>
            </w:pPr>
            <w:r/>
            <w:r>
              <w:rPr>
                <w:rFonts w:eastAsia="宋体" w:ascii="Times New Roman" w:hAnsi="Times New Roman"/>
                <w:b/>
                <w:color w:val="000000"/>
                <w:sz w:val="21"/>
              </w:rPr>
              <w:t>Macro-F1</w:t>
            </w:r>
          </w:p>
        </w:tc>
        <w:tc>
          <w:tcPr>
            <w:tcW w:type="dxa" w:w="1255"/>
          </w:tcPr>
          <w:p>
            <w:pPr>
              <w:jc w:val="center"/>
            </w:pPr>
            <w:r/>
            <w:r>
              <w:rPr>
                <w:rFonts w:eastAsia="宋体" w:ascii="Times New Roman" w:hAnsi="Times New Roman"/>
                <w:b/>
                <w:color w:val="000000"/>
                <w:sz w:val="21"/>
              </w:rPr>
              <w:t>ACC</w:t>
            </w:r>
          </w:p>
        </w:tc>
        <w:tc>
          <w:tcPr>
            <w:tcW w:type="dxa" w:w="1255"/>
          </w:tcPr>
          <w:p>
            <w:pPr>
              <w:jc w:val="center"/>
            </w:pPr>
            <w:r/>
            <w:r>
              <w:rPr>
                <w:rFonts w:eastAsia="宋体" w:ascii="Times New Roman" w:hAnsi="Times New Roman"/>
                <w:b/>
                <w:color w:val="000000"/>
                <w:sz w:val="21"/>
              </w:rPr>
              <w:t>Cohen's κ</w:t>
            </w:r>
          </w:p>
        </w:tc>
        <w:tc>
          <w:tcPr>
            <w:tcW w:type="dxa" w:w="1255"/>
          </w:tcPr>
          <w:p>
            <w:pPr>
              <w:jc w:val="center"/>
            </w:pPr>
            <w:r/>
            <w:r>
              <w:rPr>
                <w:rFonts w:eastAsia="宋体" w:ascii="Times New Roman" w:hAnsi="Times New Roman"/>
                <w:b/>
                <w:color w:val="000000"/>
                <w:sz w:val="21"/>
              </w:rPr>
              <w:t>推理时长</w:t>
            </w:r>
          </w:p>
        </w:tc>
        <w:tc>
          <w:tcPr>
            <w:tcW w:type="dxa" w:w="1255"/>
          </w:tcPr>
          <w:p>
            <w:pPr>
              <w:jc w:val="center"/>
            </w:pPr>
            <w:r/>
            <w:r>
              <w:rPr>
                <w:rFonts w:eastAsia="宋体" w:ascii="Times New Roman" w:hAnsi="Times New Roman"/>
                <w:b/>
                <w:color w:val="000000"/>
                <w:sz w:val="21"/>
              </w:rPr>
              <w:t>显存峰值</w:t>
            </w:r>
          </w:p>
        </w:tc>
      </w:tr>
      <w:tr>
        <w:tc>
          <w:tcPr>
            <w:tcW w:type="dxa" w:w="1255"/>
          </w:tcPr>
          <w:p>
            <w:pPr>
              <w:jc w:val="center"/>
            </w:pPr>
            <w:r/>
            <w:r>
              <w:rPr>
                <w:rFonts w:eastAsia="宋体" w:ascii="Times New Roman" w:hAnsi="Times New Roman"/>
                <w:b w:val="0"/>
                <w:color w:val="000000"/>
                <w:sz w:val="21"/>
              </w:rPr>
              <w:t>基线</w:t>
            </w:r>
          </w:p>
        </w:tc>
        <w:tc>
          <w:tcPr>
            <w:tcW w:type="dxa" w:w="1255"/>
          </w:tcPr>
          <w:p>
            <w:pPr>
              <w:jc w:val="center"/>
            </w:pPr>
            <w:r/>
            <w:r>
              <w:rPr>
                <w:rFonts w:eastAsia="宋体" w:ascii="Times New Roman" w:hAnsi="Times New Roman"/>
                <w:b w:val="0"/>
                <w:color w:val="000000"/>
                <w:sz w:val="21"/>
              </w:rPr>
              <w:t>无压缩</w:t>
            </w:r>
          </w:p>
        </w:tc>
        <w:tc>
          <w:tcPr>
            <w:tcW w:type="dxa" w:w="1255"/>
          </w:tcPr>
          <w:p>
            <w:pPr>
              <w:jc w:val="center"/>
            </w:pPr>
            <w:r/>
            <w:r>
              <w:rPr>
                <w:rFonts w:eastAsia="宋体" w:ascii="Times New Roman" w:hAnsi="Times New Roman"/>
                <w:b w:val="0"/>
                <w:color w:val="000000"/>
                <w:sz w:val="21"/>
              </w:rPr>
              <w:t>91.49 ± 0.11</w:t>
            </w:r>
          </w:p>
        </w:tc>
        <w:tc>
          <w:tcPr>
            <w:tcW w:type="dxa" w:w="1255"/>
          </w:tcPr>
          <w:p>
            <w:pPr>
              <w:jc w:val="center"/>
            </w:pPr>
            <w:r/>
            <w:r>
              <w:rPr>
                <w:rFonts w:eastAsia="宋体" w:ascii="Times New Roman" w:hAnsi="Times New Roman"/>
                <w:b w:val="0"/>
                <w:color w:val="000000"/>
                <w:sz w:val="21"/>
              </w:rPr>
              <w:t>92.86 ± 0.09</w:t>
            </w:r>
          </w:p>
        </w:tc>
        <w:tc>
          <w:tcPr>
            <w:tcW w:type="dxa" w:w="1255"/>
          </w:tcPr>
          <w:p>
            <w:pPr>
              <w:jc w:val="center"/>
            </w:pPr>
            <w:r/>
            <w:r>
              <w:rPr>
                <w:rFonts w:eastAsia="宋体" w:ascii="Times New Roman" w:hAnsi="Times New Roman"/>
                <w:b w:val="0"/>
                <w:color w:val="000000"/>
                <w:sz w:val="21"/>
              </w:rPr>
              <w:t>91.53 ± 0.08</w:t>
            </w:r>
          </w:p>
        </w:tc>
        <w:tc>
          <w:tcPr>
            <w:tcW w:type="dxa" w:w="1255"/>
          </w:tcPr>
          <w:p>
            <w:pPr>
              <w:jc w:val="center"/>
            </w:pPr>
            <w:r/>
            <w:r>
              <w:rPr>
                <w:rFonts w:eastAsia="宋体" w:ascii="Times New Roman" w:hAnsi="Times New Roman"/>
                <w:b w:val="0"/>
                <w:color w:val="000000"/>
                <w:sz w:val="21"/>
              </w:rPr>
              <w:t>3m58.400s</w:t>
            </w:r>
          </w:p>
        </w:tc>
        <w:tc>
          <w:tcPr>
            <w:tcW w:type="dxa" w:w="1255"/>
          </w:tcPr>
          <w:p>
            <w:pPr>
              <w:jc w:val="center"/>
            </w:pPr>
            <w:r/>
            <w:r>
              <w:rPr>
                <w:rFonts w:eastAsia="宋体" w:ascii="Times New Roman" w:hAnsi="Times New Roman"/>
                <w:b w:val="0"/>
                <w:color w:val="000000"/>
                <w:sz w:val="21"/>
              </w:rPr>
              <w:t>1667 MiB</w:t>
            </w:r>
          </w:p>
        </w:tc>
      </w:tr>
      <w:tr>
        <w:tc>
          <w:tcPr>
            <w:tcW w:type="dxa" w:w="1255"/>
          </w:tcPr>
          <w:p>
            <w:pPr>
              <w:jc w:val="center"/>
            </w:pPr>
            <w:r/>
            <w:r>
              <w:rPr>
                <w:rFonts w:eastAsia="宋体" w:ascii="Times New Roman" w:hAnsi="Times New Roman"/>
                <w:b w:val="0"/>
                <w:color w:val="000000"/>
                <w:sz w:val="21"/>
              </w:rPr>
              <w:t>Sparse-only</w:t>
            </w:r>
          </w:p>
        </w:tc>
        <w:tc>
          <w:tcPr>
            <w:tcW w:type="dxa" w:w="1255"/>
          </w:tcPr>
          <w:p>
            <w:pPr>
              <w:jc w:val="center"/>
            </w:pPr>
            <w:r/>
            <w:r>
              <w:rPr>
                <w:rFonts w:eastAsia="宋体" w:ascii="Times New Roman" w:hAnsi="Times New Roman"/>
                <w:b w:val="0"/>
                <w:color w:val="000000"/>
                <w:sz w:val="21"/>
              </w:rPr>
              <w:t>仅子图稀疏</w:t>
            </w:r>
          </w:p>
        </w:tc>
        <w:tc>
          <w:tcPr>
            <w:tcW w:type="dxa" w:w="1255"/>
          </w:tcPr>
          <w:p>
            <w:pPr>
              <w:jc w:val="center"/>
            </w:pPr>
            <w:r/>
            <w:r>
              <w:rPr>
                <w:rFonts w:eastAsia="宋体" w:ascii="Times New Roman" w:hAnsi="Times New Roman"/>
                <w:b w:val="0"/>
                <w:color w:val="000000"/>
                <w:sz w:val="21"/>
              </w:rPr>
              <w:t>89.76 ± 0.08</w:t>
            </w:r>
          </w:p>
        </w:tc>
        <w:tc>
          <w:tcPr>
            <w:tcW w:type="dxa" w:w="1255"/>
          </w:tcPr>
          <w:p>
            <w:pPr>
              <w:jc w:val="center"/>
            </w:pPr>
            <w:r/>
            <w:r>
              <w:rPr>
                <w:rFonts w:eastAsia="宋体" w:ascii="Times New Roman" w:hAnsi="Times New Roman"/>
                <w:b w:val="0"/>
                <w:color w:val="000000"/>
                <w:sz w:val="21"/>
              </w:rPr>
              <w:t>92.90 ± 0.07</w:t>
            </w:r>
          </w:p>
        </w:tc>
        <w:tc>
          <w:tcPr>
            <w:tcW w:type="dxa" w:w="1255"/>
          </w:tcPr>
          <w:p>
            <w:pPr>
              <w:jc w:val="center"/>
            </w:pPr>
            <w:r/>
            <w:r>
              <w:rPr>
                <w:rFonts w:eastAsia="宋体" w:ascii="Times New Roman" w:hAnsi="Times New Roman"/>
                <w:b w:val="0"/>
                <w:color w:val="000000"/>
                <w:sz w:val="21"/>
              </w:rPr>
              <w:t>91.59 ± 0.11</w:t>
            </w:r>
          </w:p>
        </w:tc>
        <w:tc>
          <w:tcPr>
            <w:tcW w:type="dxa" w:w="1255"/>
          </w:tcPr>
          <w:p>
            <w:pPr>
              <w:jc w:val="center"/>
            </w:pPr>
            <w:r/>
            <w:r>
              <w:rPr>
                <w:rFonts w:eastAsia="宋体" w:ascii="Times New Roman" w:hAnsi="Times New Roman"/>
                <w:b w:val="0"/>
                <w:color w:val="000000"/>
                <w:sz w:val="21"/>
              </w:rPr>
              <w:t>2m31.414s</w:t>
            </w:r>
          </w:p>
        </w:tc>
        <w:tc>
          <w:tcPr>
            <w:tcW w:type="dxa" w:w="1255"/>
          </w:tcPr>
          <w:p>
            <w:pPr>
              <w:jc w:val="center"/>
            </w:pPr>
            <w:r/>
            <w:r>
              <w:rPr>
                <w:rFonts w:eastAsia="宋体" w:ascii="Times New Roman" w:hAnsi="Times New Roman"/>
                <w:b w:val="0"/>
                <w:color w:val="000000"/>
                <w:sz w:val="21"/>
              </w:rPr>
              <w:t>935 MiB</w:t>
            </w:r>
          </w:p>
        </w:tc>
      </w:tr>
      <w:tr>
        <w:tc>
          <w:tcPr>
            <w:tcW w:type="dxa" w:w="1255"/>
          </w:tcPr>
          <w:p>
            <w:pPr>
              <w:jc w:val="center"/>
            </w:pPr>
            <w:r/>
            <w:r>
              <w:rPr>
                <w:rFonts w:eastAsia="宋体" w:ascii="Times New Roman" w:hAnsi="Times New Roman"/>
                <w:b w:val="0"/>
                <w:color w:val="000000"/>
                <w:sz w:val="21"/>
              </w:rPr>
              <w:t>Feature-only</w:t>
            </w:r>
          </w:p>
        </w:tc>
        <w:tc>
          <w:tcPr>
            <w:tcW w:type="dxa" w:w="1255"/>
          </w:tcPr>
          <w:p>
            <w:pPr>
              <w:jc w:val="center"/>
            </w:pPr>
            <w:r/>
            <w:r>
              <w:rPr>
                <w:rFonts w:eastAsia="宋体" w:ascii="Times New Roman" w:hAnsi="Times New Roman"/>
                <w:b w:val="0"/>
                <w:color w:val="000000"/>
                <w:sz w:val="21"/>
              </w:rPr>
              <w:t>仅特征压缩</w:t>
            </w:r>
          </w:p>
        </w:tc>
        <w:tc>
          <w:tcPr>
            <w:tcW w:type="dxa" w:w="1255"/>
          </w:tcPr>
          <w:p>
            <w:pPr>
              <w:jc w:val="center"/>
            </w:pPr>
            <w:r/>
            <w:r>
              <w:rPr>
                <w:rFonts w:eastAsia="宋体" w:ascii="Times New Roman" w:hAnsi="Times New Roman"/>
                <w:b w:val="0"/>
                <w:color w:val="000000"/>
                <w:sz w:val="21"/>
              </w:rPr>
              <w:t>90.91 ± 0.07</w:t>
            </w:r>
          </w:p>
        </w:tc>
        <w:tc>
          <w:tcPr>
            <w:tcW w:type="dxa" w:w="1255"/>
          </w:tcPr>
          <w:p>
            <w:pPr>
              <w:jc w:val="center"/>
            </w:pPr>
            <w:r/>
            <w:r>
              <w:rPr>
                <w:rFonts w:eastAsia="宋体" w:ascii="Times New Roman" w:hAnsi="Times New Roman"/>
                <w:b w:val="0"/>
                <w:color w:val="000000"/>
                <w:sz w:val="21"/>
              </w:rPr>
              <w:t>92.80 ± 0.05</w:t>
            </w:r>
          </w:p>
        </w:tc>
        <w:tc>
          <w:tcPr>
            <w:tcW w:type="dxa" w:w="1255"/>
          </w:tcPr>
          <w:p>
            <w:pPr>
              <w:jc w:val="center"/>
            </w:pPr>
            <w:r/>
            <w:r>
              <w:rPr>
                <w:rFonts w:eastAsia="宋体" w:ascii="Times New Roman" w:hAnsi="Times New Roman"/>
                <w:b w:val="0"/>
                <w:color w:val="000000"/>
                <w:sz w:val="21"/>
              </w:rPr>
              <w:t>91.46 ± 0.09</w:t>
            </w:r>
          </w:p>
        </w:tc>
        <w:tc>
          <w:tcPr>
            <w:tcW w:type="dxa" w:w="1255"/>
          </w:tcPr>
          <w:p>
            <w:pPr>
              <w:jc w:val="center"/>
            </w:pPr>
            <w:r/>
            <w:r>
              <w:rPr>
                <w:rFonts w:eastAsia="宋体" w:ascii="Times New Roman" w:hAnsi="Times New Roman"/>
                <w:b w:val="0"/>
                <w:color w:val="000000"/>
                <w:sz w:val="21"/>
              </w:rPr>
              <w:t>2m04.046s</w:t>
            </w:r>
          </w:p>
        </w:tc>
        <w:tc>
          <w:tcPr>
            <w:tcW w:type="dxa" w:w="1255"/>
          </w:tcPr>
          <w:p>
            <w:pPr>
              <w:jc w:val="center"/>
            </w:pPr>
            <w:r/>
            <w:r>
              <w:rPr>
                <w:rFonts w:eastAsia="宋体" w:ascii="Times New Roman" w:hAnsi="Times New Roman"/>
                <w:b w:val="0"/>
                <w:color w:val="000000"/>
                <w:sz w:val="21"/>
              </w:rPr>
              <w:t>859 MiB</w:t>
            </w:r>
          </w:p>
        </w:tc>
      </w:tr>
      <w:tr>
        <w:tc>
          <w:tcPr>
            <w:tcW w:type="dxa" w:w="1255"/>
          </w:tcPr>
          <w:p>
            <w:pPr>
              <w:jc w:val="center"/>
            </w:pPr>
            <w:r/>
            <w:r>
              <w:rPr>
                <w:rFonts w:eastAsia="宋体" w:ascii="Times New Roman" w:hAnsi="Times New Roman"/>
                <w:b w:val="0"/>
                <w:color w:val="000000"/>
                <w:sz w:val="21"/>
              </w:rPr>
              <w:t>Sparse+Feature</w:t>
            </w:r>
          </w:p>
        </w:tc>
        <w:tc>
          <w:tcPr>
            <w:tcW w:type="dxa" w:w="1255"/>
          </w:tcPr>
          <w:p>
            <w:pPr>
              <w:jc w:val="center"/>
            </w:pPr>
            <w:r/>
            <w:r>
              <w:rPr>
                <w:rFonts w:eastAsia="宋体" w:ascii="Times New Roman" w:hAnsi="Times New Roman"/>
                <w:b w:val="0"/>
                <w:color w:val="000000"/>
                <w:sz w:val="21"/>
              </w:rPr>
              <w:t>协同优化</w:t>
            </w:r>
          </w:p>
        </w:tc>
        <w:tc>
          <w:tcPr>
            <w:tcW w:type="dxa" w:w="1255"/>
          </w:tcPr>
          <w:p>
            <w:pPr>
              <w:jc w:val="center"/>
            </w:pPr>
            <w:r/>
            <w:r>
              <w:rPr>
                <w:rFonts w:eastAsia="宋体" w:ascii="Times New Roman" w:hAnsi="Times New Roman"/>
                <w:b w:val="0"/>
                <w:color w:val="000000"/>
                <w:sz w:val="21"/>
              </w:rPr>
              <w:t>89.89 ± 0.10</w:t>
            </w:r>
          </w:p>
        </w:tc>
        <w:tc>
          <w:tcPr>
            <w:tcW w:type="dxa" w:w="1255"/>
          </w:tcPr>
          <w:p>
            <w:pPr>
              <w:jc w:val="center"/>
            </w:pPr>
            <w:r/>
            <w:r>
              <w:rPr>
                <w:rFonts w:eastAsia="宋体" w:ascii="Times New Roman" w:hAnsi="Times New Roman"/>
                <w:b w:val="0"/>
                <w:color w:val="000000"/>
                <w:sz w:val="21"/>
              </w:rPr>
              <w:t>92.64 ± 0.08</w:t>
            </w:r>
          </w:p>
        </w:tc>
        <w:tc>
          <w:tcPr>
            <w:tcW w:type="dxa" w:w="1255"/>
          </w:tcPr>
          <w:p>
            <w:pPr>
              <w:jc w:val="center"/>
            </w:pPr>
            <w:r/>
            <w:r>
              <w:rPr>
                <w:rFonts w:eastAsia="宋体" w:ascii="Times New Roman" w:hAnsi="Times New Roman"/>
                <w:b w:val="0"/>
                <w:color w:val="000000"/>
                <w:sz w:val="21"/>
              </w:rPr>
              <w:t>91.28 ± 0.06</w:t>
            </w:r>
          </w:p>
        </w:tc>
        <w:tc>
          <w:tcPr>
            <w:tcW w:type="dxa" w:w="1255"/>
          </w:tcPr>
          <w:p>
            <w:pPr>
              <w:jc w:val="center"/>
            </w:pPr>
            <w:r/>
            <w:r>
              <w:rPr>
                <w:rFonts w:eastAsia="宋体" w:ascii="Times New Roman" w:hAnsi="Times New Roman"/>
                <w:b w:val="0"/>
                <w:color w:val="000000"/>
                <w:sz w:val="21"/>
              </w:rPr>
              <w:t>2m03.977s</w:t>
            </w:r>
          </w:p>
        </w:tc>
        <w:tc>
          <w:tcPr>
            <w:tcW w:type="dxa" w:w="1255"/>
          </w:tcPr>
          <w:p>
            <w:pPr>
              <w:jc w:val="center"/>
            </w:pPr>
            <w:r/>
            <w:r>
              <w:rPr>
                <w:rFonts w:eastAsia="宋体" w:ascii="Times New Roman" w:hAnsi="Times New Roman"/>
                <w:b w:val="0"/>
                <w:color w:val="000000"/>
                <w:sz w:val="21"/>
              </w:rPr>
              <w:t>859 MiB</w:t>
            </w:r>
          </w:p>
        </w:tc>
      </w:tr>
    </w:tbl>
    <w:p/>
    <w:p>
      <w:pPr>
        <w:spacing w:before="120" w:after="120"/>
        <w:ind w:firstLine="0"/>
        <w:jc w:val="left"/>
      </w:pPr>
      <w:r>
        <w:rPr>
          <w:rFonts w:eastAsia="黑体" w:ascii="Arial" w:hAnsi="Arial"/>
          <w:b/>
          <w:color w:val="000000"/>
          <w:sz w:val="28"/>
        </w:rPr>
        <w:t>5.4.2 DrugBank结果分析</w:t>
      </w:r>
    </w:p>
    <w:p>
      <w:pPr>
        <w:ind w:firstLine="482"/>
        <w:jc w:val="both"/>
        <w:spacing w:line="440" w:lineRule="exact"/>
      </w:pPr>
      <w:r>
        <w:rPr>
          <w:rFonts w:eastAsia="宋体" w:ascii="Times New Roman" w:hAnsi="Times New Roman"/>
          <w:b w:val="0"/>
          <w:color w:val="000000"/>
          <w:sz w:val="24"/>
        </w:rPr>
        <w:t>（1）仅子图稀疏（Sparse-only）：Macro-F1下降1.73%，但ACC（92.90）和Cohen's κ（91.59）略优于基线，推理时长节省约36.5%，显存峰值节省约43.9%。该方案对整体预测一致性影响较小，但对类别均衡性能有一定损伤。</w:t>
      </w:r>
    </w:p>
    <w:p>
      <w:pPr>
        <w:ind w:firstLine="482"/>
        <w:jc w:val="both"/>
        <w:spacing w:line="440" w:lineRule="exact"/>
      </w:pPr>
      <w:r>
        <w:rPr>
          <w:rFonts w:eastAsia="宋体" w:ascii="Times New Roman" w:hAnsi="Times New Roman"/>
          <w:b w:val="0"/>
          <w:color w:val="000000"/>
          <w:sz w:val="24"/>
        </w:rPr>
        <w:t>（2）仅特征压缩（Feature-only）：Macro-F1下降0.58%，ACC和Cohen's κ的变化极小，推理时长节省约47.9%，显存峰值节省约48.5%。特征压缩方案在精度保持和效率提升之间取得了最佳折中，是DrugBank上推荐的轻量化优先策略。</w:t>
      </w:r>
    </w:p>
    <w:p>
      <w:pPr>
        <w:ind w:firstLine="482"/>
        <w:jc w:val="both"/>
        <w:spacing w:line="440" w:lineRule="exact"/>
      </w:pPr>
      <w:r>
        <w:rPr>
          <w:rFonts w:eastAsia="宋体" w:ascii="Times New Roman" w:hAnsi="Times New Roman"/>
          <w:b w:val="0"/>
          <w:color w:val="000000"/>
          <w:sz w:val="24"/>
        </w:rPr>
        <w:t>（3）协同优化（Sparse+Feature）：Macro-F1下降1.60%，ACC和Cohen's κ略有下降，推理时长节省约48.0%，显存峰值节省约48.5%。协同优化在推理时长上未获得相比Feature-only的显著额外收益（两者推理时长相近），说明在DrugBank场景下，特征压缩已经是主要的推理瓶颈，而非子图规模。</w:t>
      </w:r>
    </w:p>
    <w:p>
      <w:pPr>
        <w:spacing w:before="120" w:after="120"/>
        <w:ind w:firstLine="0"/>
        <w:jc w:val="left"/>
      </w:pPr>
      <w:r>
        <w:rPr>
          <w:rFonts w:eastAsia="黑体" w:ascii="Arial" w:hAnsi="Arial"/>
          <w:b/>
          <w:color w:val="000000"/>
          <w:sz w:val="28"/>
        </w:rPr>
        <w:t>5.4.3 TWOSIDES轻量化评测结果</w:t>
      </w:r>
    </w:p>
    <w:p>
      <w:pPr>
        <w:ind w:firstLine="482"/>
        <w:jc w:val="both"/>
        <w:spacing w:line="440" w:lineRule="exact"/>
      </w:pPr>
      <w:r>
        <w:rPr>
          <w:rFonts w:eastAsia="宋体" w:ascii="Times New Roman" w:hAnsi="Times New Roman"/>
          <w:b w:val="0"/>
          <w:color w:val="000000"/>
          <w:sz w:val="24"/>
        </w:rPr>
        <w:t>表5-6 TWOSIDES轻量化方案评测结果</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pPr>
              <w:jc w:val="center"/>
            </w:pPr>
            <w:r/>
            <w:r>
              <w:rPr>
                <w:rFonts w:eastAsia="宋体" w:ascii="Times New Roman" w:hAnsi="Times New Roman"/>
                <w:b/>
                <w:color w:val="000000"/>
                <w:sz w:val="21"/>
              </w:rPr>
              <w:t>实验名</w:t>
            </w:r>
          </w:p>
        </w:tc>
        <w:tc>
          <w:tcPr>
            <w:tcW w:type="dxa" w:w="1465"/>
          </w:tcPr>
          <w:p>
            <w:pPr>
              <w:jc w:val="center"/>
            </w:pPr>
            <w:r/>
            <w:r>
              <w:rPr>
                <w:rFonts w:eastAsia="宋体" w:ascii="Times New Roman" w:hAnsi="Times New Roman"/>
                <w:b/>
                <w:color w:val="000000"/>
                <w:sz w:val="21"/>
              </w:rPr>
              <w:t>方案</w:t>
            </w:r>
          </w:p>
        </w:tc>
        <w:tc>
          <w:tcPr>
            <w:tcW w:type="dxa" w:w="1465"/>
          </w:tcPr>
          <w:p>
            <w:pPr>
              <w:jc w:val="center"/>
            </w:pPr>
            <w:r/>
            <w:r>
              <w:rPr>
                <w:rFonts w:eastAsia="宋体" w:ascii="Times New Roman" w:hAnsi="Times New Roman"/>
                <w:b/>
                <w:color w:val="000000"/>
                <w:sz w:val="21"/>
              </w:rPr>
              <w:t>AUROC</w:t>
            </w:r>
          </w:p>
        </w:tc>
        <w:tc>
          <w:tcPr>
            <w:tcW w:type="dxa" w:w="1465"/>
          </w:tcPr>
          <w:p>
            <w:pPr>
              <w:jc w:val="center"/>
            </w:pPr>
            <w:r/>
            <w:r>
              <w:rPr>
                <w:rFonts w:eastAsia="宋体" w:ascii="Times New Roman" w:hAnsi="Times New Roman"/>
                <w:b/>
                <w:color w:val="000000"/>
                <w:sz w:val="21"/>
              </w:rPr>
              <w:t>AUPRC</w:t>
            </w:r>
          </w:p>
        </w:tc>
        <w:tc>
          <w:tcPr>
            <w:tcW w:type="dxa" w:w="1465"/>
          </w:tcPr>
          <w:p>
            <w:pPr>
              <w:jc w:val="center"/>
            </w:pPr>
            <w:r/>
            <w:r>
              <w:rPr>
                <w:rFonts w:eastAsia="宋体" w:ascii="Times New Roman" w:hAnsi="Times New Roman"/>
                <w:b/>
                <w:color w:val="000000"/>
                <w:sz w:val="21"/>
              </w:rPr>
              <w:t>推理时长</w:t>
            </w:r>
          </w:p>
        </w:tc>
        <w:tc>
          <w:tcPr>
            <w:tcW w:type="dxa" w:w="1465"/>
          </w:tcPr>
          <w:p>
            <w:pPr>
              <w:jc w:val="center"/>
            </w:pPr>
            <w:r/>
            <w:r>
              <w:rPr>
                <w:rFonts w:eastAsia="宋体" w:ascii="Times New Roman" w:hAnsi="Times New Roman"/>
                <w:b/>
                <w:color w:val="000000"/>
                <w:sz w:val="21"/>
              </w:rPr>
              <w:t>显存峰值</w:t>
            </w:r>
          </w:p>
        </w:tc>
      </w:tr>
      <w:tr>
        <w:tc>
          <w:tcPr>
            <w:tcW w:type="dxa" w:w="1465"/>
          </w:tcPr>
          <w:p>
            <w:pPr>
              <w:jc w:val="center"/>
            </w:pPr>
            <w:r/>
            <w:r>
              <w:rPr>
                <w:rFonts w:eastAsia="宋体" w:ascii="Times New Roman" w:hAnsi="Times New Roman"/>
                <w:b w:val="0"/>
                <w:color w:val="000000"/>
                <w:sz w:val="21"/>
              </w:rPr>
              <w:t>基线</w:t>
            </w:r>
          </w:p>
        </w:tc>
        <w:tc>
          <w:tcPr>
            <w:tcW w:type="dxa" w:w="1465"/>
          </w:tcPr>
          <w:p>
            <w:pPr>
              <w:jc w:val="center"/>
            </w:pPr>
            <w:r/>
            <w:r>
              <w:rPr>
                <w:rFonts w:eastAsia="宋体" w:ascii="Times New Roman" w:hAnsi="Times New Roman"/>
                <w:b w:val="0"/>
                <w:color w:val="000000"/>
                <w:sz w:val="21"/>
              </w:rPr>
              <w:t>无压缩</w:t>
            </w:r>
          </w:p>
        </w:tc>
        <w:tc>
          <w:tcPr>
            <w:tcW w:type="dxa" w:w="1465"/>
          </w:tcPr>
          <w:p>
            <w:pPr>
              <w:jc w:val="center"/>
            </w:pPr>
            <w:r/>
            <w:r>
              <w:rPr>
                <w:rFonts w:eastAsia="宋体" w:ascii="Times New Roman" w:hAnsi="Times New Roman"/>
                <w:b w:val="0"/>
                <w:color w:val="000000"/>
                <w:sz w:val="21"/>
              </w:rPr>
              <w:t>95.44 ± 0.01</w:t>
            </w:r>
          </w:p>
        </w:tc>
        <w:tc>
          <w:tcPr>
            <w:tcW w:type="dxa" w:w="1465"/>
          </w:tcPr>
          <w:p>
            <w:pPr>
              <w:jc w:val="center"/>
            </w:pPr>
            <w:r/>
            <w:r>
              <w:rPr>
                <w:rFonts w:eastAsia="宋体" w:ascii="Times New Roman" w:hAnsi="Times New Roman"/>
                <w:b w:val="0"/>
                <w:color w:val="000000"/>
                <w:sz w:val="21"/>
              </w:rPr>
              <w:t>94.11 ± 0.07</w:t>
            </w:r>
          </w:p>
        </w:tc>
        <w:tc>
          <w:tcPr>
            <w:tcW w:type="dxa" w:w="1465"/>
          </w:tcPr>
          <w:p>
            <w:pPr>
              <w:jc w:val="center"/>
            </w:pPr>
            <w:r/>
            <w:r>
              <w:rPr>
                <w:rFonts w:eastAsia="宋体" w:ascii="Times New Roman" w:hAnsi="Times New Roman"/>
                <w:b w:val="0"/>
                <w:color w:val="000000"/>
                <w:sz w:val="21"/>
              </w:rPr>
              <w:t>6m13.810s</w:t>
            </w:r>
          </w:p>
        </w:tc>
        <w:tc>
          <w:tcPr>
            <w:tcW w:type="dxa" w:w="1465"/>
          </w:tcPr>
          <w:p>
            <w:pPr>
              <w:jc w:val="center"/>
            </w:pPr>
            <w:r/>
            <w:r>
              <w:rPr>
                <w:rFonts w:eastAsia="宋体" w:ascii="Times New Roman" w:hAnsi="Times New Roman"/>
                <w:b w:val="0"/>
                <w:color w:val="000000"/>
                <w:sz w:val="21"/>
              </w:rPr>
              <w:t>911 MiB</w:t>
            </w:r>
          </w:p>
        </w:tc>
      </w:tr>
      <w:tr>
        <w:tc>
          <w:tcPr>
            <w:tcW w:type="dxa" w:w="1465"/>
          </w:tcPr>
          <w:p>
            <w:pPr>
              <w:jc w:val="center"/>
            </w:pPr>
            <w:r/>
            <w:r>
              <w:rPr>
                <w:rFonts w:eastAsia="宋体" w:ascii="Times New Roman" w:hAnsi="Times New Roman"/>
                <w:b w:val="0"/>
                <w:color w:val="000000"/>
                <w:sz w:val="21"/>
              </w:rPr>
              <w:t>Sparse-only</w:t>
            </w:r>
          </w:p>
        </w:tc>
        <w:tc>
          <w:tcPr>
            <w:tcW w:type="dxa" w:w="1465"/>
          </w:tcPr>
          <w:p>
            <w:pPr>
              <w:jc w:val="center"/>
            </w:pPr>
            <w:r/>
            <w:r>
              <w:rPr>
                <w:rFonts w:eastAsia="宋体" w:ascii="Times New Roman" w:hAnsi="Times New Roman"/>
                <w:b w:val="0"/>
                <w:color w:val="000000"/>
                <w:sz w:val="21"/>
              </w:rPr>
              <w:t>仅子图稀疏</w:t>
            </w:r>
          </w:p>
        </w:tc>
        <w:tc>
          <w:tcPr>
            <w:tcW w:type="dxa" w:w="1465"/>
          </w:tcPr>
          <w:p>
            <w:pPr>
              <w:jc w:val="center"/>
            </w:pPr>
            <w:r/>
            <w:r>
              <w:rPr>
                <w:rFonts w:eastAsia="宋体" w:ascii="Times New Roman" w:hAnsi="Times New Roman"/>
                <w:b w:val="0"/>
                <w:color w:val="000000"/>
                <w:sz w:val="21"/>
              </w:rPr>
              <w:t>95.50 ± 0.03</w:t>
            </w:r>
          </w:p>
        </w:tc>
        <w:tc>
          <w:tcPr>
            <w:tcW w:type="dxa" w:w="1465"/>
          </w:tcPr>
          <w:p>
            <w:pPr>
              <w:jc w:val="center"/>
            </w:pPr>
            <w:r/>
            <w:r>
              <w:rPr>
                <w:rFonts w:eastAsia="宋体" w:ascii="Times New Roman" w:hAnsi="Times New Roman"/>
                <w:b w:val="0"/>
                <w:color w:val="000000"/>
                <w:sz w:val="21"/>
              </w:rPr>
              <w:t>94.24 ± 0.09</w:t>
            </w:r>
          </w:p>
        </w:tc>
        <w:tc>
          <w:tcPr>
            <w:tcW w:type="dxa" w:w="1465"/>
          </w:tcPr>
          <w:p>
            <w:pPr>
              <w:jc w:val="center"/>
            </w:pPr>
            <w:r/>
            <w:r>
              <w:rPr>
                <w:rFonts w:eastAsia="宋体" w:ascii="Times New Roman" w:hAnsi="Times New Roman"/>
                <w:b w:val="0"/>
                <w:color w:val="000000"/>
                <w:sz w:val="21"/>
              </w:rPr>
              <w:t>5m46.968s</w:t>
            </w:r>
          </w:p>
        </w:tc>
        <w:tc>
          <w:tcPr>
            <w:tcW w:type="dxa" w:w="1465"/>
          </w:tcPr>
          <w:p>
            <w:pPr>
              <w:jc w:val="center"/>
            </w:pPr>
            <w:r/>
            <w:r>
              <w:rPr>
                <w:rFonts w:eastAsia="宋体" w:ascii="Times New Roman" w:hAnsi="Times New Roman"/>
                <w:b w:val="0"/>
                <w:color w:val="000000"/>
                <w:sz w:val="21"/>
              </w:rPr>
              <w:t>901 MiB</w:t>
            </w:r>
          </w:p>
        </w:tc>
      </w:tr>
      <w:tr>
        <w:tc>
          <w:tcPr>
            <w:tcW w:type="dxa" w:w="1465"/>
          </w:tcPr>
          <w:p>
            <w:pPr>
              <w:jc w:val="center"/>
            </w:pPr>
            <w:r/>
            <w:r>
              <w:rPr>
                <w:rFonts w:eastAsia="宋体" w:ascii="Times New Roman" w:hAnsi="Times New Roman"/>
                <w:b w:val="0"/>
                <w:color w:val="000000"/>
                <w:sz w:val="21"/>
              </w:rPr>
              <w:t>Feature-only</w:t>
            </w:r>
          </w:p>
        </w:tc>
        <w:tc>
          <w:tcPr>
            <w:tcW w:type="dxa" w:w="1465"/>
          </w:tcPr>
          <w:p>
            <w:pPr>
              <w:jc w:val="center"/>
            </w:pPr>
            <w:r/>
            <w:r>
              <w:rPr>
                <w:rFonts w:eastAsia="宋体" w:ascii="Times New Roman" w:hAnsi="Times New Roman"/>
                <w:b w:val="0"/>
                <w:color w:val="000000"/>
                <w:sz w:val="21"/>
              </w:rPr>
              <w:t>仅特征压缩</w:t>
            </w:r>
          </w:p>
        </w:tc>
        <w:tc>
          <w:tcPr>
            <w:tcW w:type="dxa" w:w="1465"/>
          </w:tcPr>
          <w:p>
            <w:pPr>
              <w:jc w:val="center"/>
            </w:pPr>
            <w:r/>
            <w:r>
              <w:rPr>
                <w:rFonts w:eastAsia="宋体" w:ascii="Times New Roman" w:hAnsi="Times New Roman"/>
                <w:b w:val="0"/>
                <w:color w:val="000000"/>
                <w:sz w:val="21"/>
              </w:rPr>
              <w:t>95.28 ± 0.05</w:t>
            </w:r>
          </w:p>
        </w:tc>
        <w:tc>
          <w:tcPr>
            <w:tcW w:type="dxa" w:w="1465"/>
          </w:tcPr>
          <w:p>
            <w:pPr>
              <w:jc w:val="center"/>
            </w:pPr>
            <w:r/>
            <w:r>
              <w:rPr>
                <w:rFonts w:eastAsia="宋体" w:ascii="Times New Roman" w:hAnsi="Times New Roman"/>
                <w:b w:val="0"/>
                <w:color w:val="000000"/>
                <w:sz w:val="21"/>
              </w:rPr>
              <w:t>93.90 ± 0.11</w:t>
            </w:r>
          </w:p>
        </w:tc>
        <w:tc>
          <w:tcPr>
            <w:tcW w:type="dxa" w:w="1465"/>
          </w:tcPr>
          <w:p>
            <w:pPr>
              <w:jc w:val="center"/>
            </w:pPr>
            <w:r/>
            <w:r>
              <w:rPr>
                <w:rFonts w:eastAsia="宋体" w:ascii="Times New Roman" w:hAnsi="Times New Roman"/>
                <w:b w:val="0"/>
                <w:color w:val="000000"/>
                <w:sz w:val="21"/>
              </w:rPr>
              <w:t>5m35.716s</w:t>
            </w:r>
          </w:p>
        </w:tc>
        <w:tc>
          <w:tcPr>
            <w:tcW w:type="dxa" w:w="1465"/>
          </w:tcPr>
          <w:p>
            <w:pPr>
              <w:jc w:val="center"/>
            </w:pPr>
            <w:r/>
            <w:r>
              <w:rPr>
                <w:rFonts w:eastAsia="宋体" w:ascii="Times New Roman" w:hAnsi="Times New Roman"/>
                <w:b w:val="0"/>
                <w:color w:val="000000"/>
                <w:sz w:val="21"/>
              </w:rPr>
              <w:t>898 MiB</w:t>
            </w:r>
          </w:p>
        </w:tc>
      </w:tr>
      <w:tr>
        <w:tc>
          <w:tcPr>
            <w:tcW w:type="dxa" w:w="1465"/>
          </w:tcPr>
          <w:p>
            <w:pPr>
              <w:jc w:val="center"/>
            </w:pPr>
            <w:r/>
            <w:r>
              <w:rPr>
                <w:rFonts w:eastAsia="宋体" w:ascii="Times New Roman" w:hAnsi="Times New Roman"/>
                <w:b w:val="0"/>
                <w:color w:val="000000"/>
                <w:sz w:val="21"/>
              </w:rPr>
              <w:t>Sparse+Feature</w:t>
            </w:r>
          </w:p>
        </w:tc>
        <w:tc>
          <w:tcPr>
            <w:tcW w:type="dxa" w:w="1465"/>
          </w:tcPr>
          <w:p>
            <w:pPr>
              <w:jc w:val="center"/>
            </w:pPr>
            <w:r/>
            <w:r>
              <w:rPr>
                <w:rFonts w:eastAsia="宋体" w:ascii="Times New Roman" w:hAnsi="Times New Roman"/>
                <w:b w:val="0"/>
                <w:color w:val="000000"/>
                <w:sz w:val="21"/>
              </w:rPr>
              <w:t>协同优化</w:t>
            </w:r>
          </w:p>
        </w:tc>
        <w:tc>
          <w:tcPr>
            <w:tcW w:type="dxa" w:w="1465"/>
          </w:tcPr>
          <w:p>
            <w:pPr>
              <w:jc w:val="center"/>
            </w:pPr>
            <w:r/>
            <w:r>
              <w:rPr>
                <w:rFonts w:eastAsia="宋体" w:ascii="Times New Roman" w:hAnsi="Times New Roman"/>
                <w:b w:val="0"/>
                <w:color w:val="000000"/>
                <w:sz w:val="21"/>
              </w:rPr>
              <w:t>95.40 ± 0.04</w:t>
            </w:r>
          </w:p>
        </w:tc>
        <w:tc>
          <w:tcPr>
            <w:tcW w:type="dxa" w:w="1465"/>
          </w:tcPr>
          <w:p>
            <w:pPr>
              <w:jc w:val="center"/>
            </w:pPr>
            <w:r/>
            <w:r>
              <w:rPr>
                <w:rFonts w:eastAsia="宋体" w:ascii="Times New Roman" w:hAnsi="Times New Roman"/>
                <w:b w:val="0"/>
                <w:color w:val="000000"/>
                <w:sz w:val="21"/>
              </w:rPr>
              <w:t>94.01 ± 0.07</w:t>
            </w:r>
          </w:p>
        </w:tc>
        <w:tc>
          <w:tcPr>
            <w:tcW w:type="dxa" w:w="1465"/>
          </w:tcPr>
          <w:p>
            <w:pPr>
              <w:jc w:val="center"/>
            </w:pPr>
            <w:r/>
            <w:r>
              <w:rPr>
                <w:rFonts w:eastAsia="宋体" w:ascii="Times New Roman" w:hAnsi="Times New Roman"/>
                <w:b w:val="0"/>
                <w:color w:val="000000"/>
                <w:sz w:val="21"/>
              </w:rPr>
              <w:t>5m37.807s</w:t>
            </w:r>
          </w:p>
        </w:tc>
        <w:tc>
          <w:tcPr>
            <w:tcW w:type="dxa" w:w="1465"/>
          </w:tcPr>
          <w:p>
            <w:pPr>
              <w:jc w:val="center"/>
            </w:pPr>
            <w:r/>
            <w:r>
              <w:rPr>
                <w:rFonts w:eastAsia="宋体" w:ascii="Times New Roman" w:hAnsi="Times New Roman"/>
                <w:b w:val="0"/>
                <w:color w:val="000000"/>
                <w:sz w:val="21"/>
              </w:rPr>
              <w:t>903 MiB</w:t>
            </w:r>
          </w:p>
        </w:tc>
      </w:tr>
    </w:tbl>
    <w:p/>
    <w:p>
      <w:pPr>
        <w:spacing w:before="120" w:after="120"/>
        <w:ind w:firstLine="0"/>
        <w:jc w:val="left"/>
      </w:pPr>
      <w:r>
        <w:rPr>
          <w:rFonts w:eastAsia="黑体" w:ascii="Arial" w:hAnsi="Arial"/>
          <w:b/>
          <w:color w:val="000000"/>
          <w:sz w:val="28"/>
        </w:rPr>
        <w:t>5.4.4 TWOSIDES结果分析</w:t>
      </w:r>
    </w:p>
    <w:p>
      <w:pPr>
        <w:ind w:firstLine="482"/>
        <w:jc w:val="both"/>
        <w:spacing w:line="440" w:lineRule="exact"/>
      </w:pPr>
      <w:r>
        <w:rPr>
          <w:rFonts w:eastAsia="宋体" w:ascii="Times New Roman" w:hAnsi="Times New Roman"/>
          <w:b w:val="0"/>
          <w:color w:val="000000"/>
          <w:sz w:val="24"/>
        </w:rPr>
        <w:t>（1）仅子图稀疏（Sparse-only）：AUROC（95.50）和AUPRC（94.24）反而略高于基线，推理时长节省约7.2%，显存峰值节省约1.1%。AUROC和AUPRC小幅高于基线的现象可能与随机种子波动有关，结合标准差（±0.03）分析，两者在统计意义上无显著差异。TWOSIDES对子图稀疏采样的精度敏感度极低，但效率收益也相对有限。</w:t>
      </w:r>
    </w:p>
    <w:p>
      <w:pPr>
        <w:ind w:firstLine="482"/>
        <w:jc w:val="both"/>
        <w:spacing w:line="440" w:lineRule="exact"/>
      </w:pPr>
      <w:r>
        <w:rPr>
          <w:rFonts w:eastAsia="宋体" w:ascii="Times New Roman" w:hAnsi="Times New Roman"/>
          <w:b w:val="0"/>
          <w:color w:val="000000"/>
          <w:sz w:val="24"/>
        </w:rPr>
        <w:t>（2）仅特征压缩（Feature-only）：AUROC下降0.16%，AUPRC下降0.21%，推理时长节省约10.2%，显存峰值节省约1.4%。特征压缩带来的精度影响仍在可接受范围内，但效率提升幅度同样有限。</w:t>
      </w:r>
    </w:p>
    <w:p>
      <w:pPr>
        <w:ind w:firstLine="482"/>
        <w:jc w:val="both"/>
        <w:spacing w:line="440" w:lineRule="exact"/>
      </w:pPr>
      <w:r>
        <w:rPr>
          <w:rFonts w:eastAsia="宋体" w:ascii="Times New Roman" w:hAnsi="Times New Roman"/>
          <w:b w:val="0"/>
          <w:color w:val="000000"/>
          <w:sz w:val="24"/>
        </w:rPr>
        <w:t>（3）协同优化（Sparse+Feature）：AUROC（95.40）略低于基线（95.44），AUPRC（94.01）轻微下降，推理时长节省约9.7%，显存峰值节省约0.9%。协同优化未能在TWOSIDES上体现出明显优势，三类方案的效率收益均处于同一量级。</w:t>
      </w:r>
    </w:p>
    <w:p>
      <w:pPr>
        <w:spacing w:before="120" w:after="120"/>
        <w:ind w:firstLine="0"/>
        <w:jc w:val="left"/>
      </w:pPr>
      <w:r>
        <w:rPr>
          <w:rFonts w:eastAsia="黑体" w:ascii="Arial" w:hAnsi="Arial"/>
          <w:b/>
          <w:color w:val="000000"/>
          <w:sz w:val="28"/>
        </w:rPr>
        <w:t>5.4.5 轻量化综合评估</w:t>
      </w:r>
    </w:p>
    <w:p>
      <w:pPr>
        <w:ind w:firstLine="482"/>
        <w:jc w:val="both"/>
        <w:spacing w:line="440" w:lineRule="exact"/>
      </w:pPr>
      <w:r>
        <w:rPr>
          <w:rFonts w:eastAsia="宋体" w:ascii="Times New Roman" w:hAnsi="Times New Roman"/>
          <w:b w:val="0"/>
          <w:color w:val="000000"/>
          <w:sz w:val="24"/>
        </w:rPr>
        <w:t>表5-7 DrugBank轻量化方案综合对比（相对于基线的变化率，%）</w:t>
      </w:r>
    </w:p>
    <w:p>
      <w:pPr>
        <w:ind w:firstLine="0"/>
        <w:jc w:val="center"/>
      </w:pPr>
      <w:r>
        <w:rPr>
          <w:rFonts w:eastAsia="宋体" w:ascii="Times New Roman" w:hAnsi="Times New Roman"/>
          <w:b/>
          <w:color w:val="FF0000"/>
          <w:sz w:val="24"/>
        </w:rPr>
        <w:t>【待插图：DrugBank轻量化方案综合对比图（精度损失 vs 资源节省）】</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jc w:val="center"/>
            </w:pPr>
            <w:r/>
            <w:r>
              <w:rPr>
                <w:rFonts w:eastAsia="宋体" w:ascii="Times New Roman" w:hAnsi="Times New Roman"/>
                <w:b/>
                <w:color w:val="000000"/>
                <w:sz w:val="21"/>
              </w:rPr>
              <w:t>方案</w:t>
            </w:r>
          </w:p>
        </w:tc>
        <w:tc>
          <w:tcPr>
            <w:tcW w:type="dxa" w:w="2197"/>
          </w:tcPr>
          <w:p>
            <w:pPr>
              <w:jc w:val="center"/>
            </w:pPr>
            <w:r/>
            <w:r>
              <w:rPr>
                <w:rFonts w:eastAsia="宋体" w:ascii="Times New Roman" w:hAnsi="Times New Roman"/>
                <w:b/>
                <w:color w:val="000000"/>
                <w:sz w:val="21"/>
              </w:rPr>
              <w:t>Macro-F1变化</w:t>
            </w:r>
          </w:p>
        </w:tc>
        <w:tc>
          <w:tcPr>
            <w:tcW w:type="dxa" w:w="2197"/>
          </w:tcPr>
          <w:p>
            <w:pPr>
              <w:jc w:val="center"/>
            </w:pPr>
            <w:r/>
            <w:r>
              <w:rPr>
                <w:rFonts w:eastAsia="宋体" w:ascii="Times New Roman" w:hAnsi="Times New Roman"/>
                <w:b/>
                <w:color w:val="000000"/>
                <w:sz w:val="21"/>
              </w:rPr>
              <w:t>推理时长节省</w:t>
            </w:r>
          </w:p>
        </w:tc>
        <w:tc>
          <w:tcPr>
            <w:tcW w:type="dxa" w:w="2197"/>
          </w:tcPr>
          <w:p>
            <w:pPr>
              <w:jc w:val="center"/>
            </w:pPr>
            <w:r/>
            <w:r>
              <w:rPr>
                <w:rFonts w:eastAsia="宋体" w:ascii="Times New Roman" w:hAnsi="Times New Roman"/>
                <w:b/>
                <w:color w:val="000000"/>
                <w:sz w:val="21"/>
              </w:rPr>
              <w:t>显存节省</w:t>
            </w:r>
          </w:p>
        </w:tc>
      </w:tr>
      <w:tr>
        <w:tc>
          <w:tcPr>
            <w:tcW w:type="dxa" w:w="2197"/>
          </w:tcPr>
          <w:p>
            <w:pPr>
              <w:jc w:val="center"/>
            </w:pPr>
            <w:r/>
            <w:r>
              <w:rPr>
                <w:rFonts w:eastAsia="宋体" w:ascii="Times New Roman" w:hAnsi="Times New Roman"/>
                <w:b w:val="0"/>
                <w:color w:val="000000"/>
                <w:sz w:val="21"/>
              </w:rPr>
              <w:t>Sparse-only</w:t>
            </w:r>
          </w:p>
        </w:tc>
        <w:tc>
          <w:tcPr>
            <w:tcW w:type="dxa" w:w="2197"/>
          </w:tcPr>
          <w:p>
            <w:pPr>
              <w:jc w:val="center"/>
            </w:pPr>
            <w:r/>
            <w:r>
              <w:rPr>
                <w:rFonts w:eastAsia="宋体" w:ascii="Times New Roman" w:hAnsi="Times New Roman"/>
                <w:b w:val="0"/>
                <w:color w:val="000000"/>
                <w:sz w:val="21"/>
              </w:rPr>
              <w:t>-1.73%</w:t>
            </w:r>
          </w:p>
        </w:tc>
        <w:tc>
          <w:tcPr>
            <w:tcW w:type="dxa" w:w="2197"/>
          </w:tcPr>
          <w:p>
            <w:pPr>
              <w:jc w:val="center"/>
            </w:pPr>
            <w:r/>
            <w:r>
              <w:rPr>
                <w:rFonts w:eastAsia="宋体" w:ascii="Times New Roman" w:hAnsi="Times New Roman"/>
                <w:b w:val="0"/>
                <w:color w:val="000000"/>
                <w:sz w:val="21"/>
              </w:rPr>
              <w:t>-36.5%</w:t>
            </w:r>
          </w:p>
        </w:tc>
        <w:tc>
          <w:tcPr>
            <w:tcW w:type="dxa" w:w="2197"/>
          </w:tcPr>
          <w:p>
            <w:pPr>
              <w:jc w:val="center"/>
            </w:pPr>
            <w:r/>
            <w:r>
              <w:rPr>
                <w:rFonts w:eastAsia="宋体" w:ascii="Times New Roman" w:hAnsi="Times New Roman"/>
                <w:b w:val="0"/>
                <w:color w:val="000000"/>
                <w:sz w:val="21"/>
              </w:rPr>
              <w:t>-43.9%</w:t>
            </w:r>
          </w:p>
        </w:tc>
      </w:tr>
      <w:tr>
        <w:tc>
          <w:tcPr>
            <w:tcW w:type="dxa" w:w="2197"/>
          </w:tcPr>
          <w:p>
            <w:pPr>
              <w:jc w:val="center"/>
            </w:pPr>
            <w:r/>
            <w:r>
              <w:rPr>
                <w:rFonts w:eastAsia="宋体" w:ascii="Times New Roman" w:hAnsi="Times New Roman"/>
                <w:b w:val="0"/>
                <w:color w:val="000000"/>
                <w:sz w:val="21"/>
              </w:rPr>
              <w:t>Feature-only</w:t>
            </w:r>
          </w:p>
        </w:tc>
        <w:tc>
          <w:tcPr>
            <w:tcW w:type="dxa" w:w="2197"/>
          </w:tcPr>
          <w:p>
            <w:pPr>
              <w:jc w:val="center"/>
            </w:pPr>
            <w:r/>
            <w:r>
              <w:rPr>
                <w:rFonts w:eastAsia="宋体" w:ascii="Times New Roman" w:hAnsi="Times New Roman"/>
                <w:b w:val="0"/>
                <w:color w:val="000000"/>
                <w:sz w:val="21"/>
              </w:rPr>
              <w:t>-0.58%</w:t>
            </w:r>
          </w:p>
        </w:tc>
        <w:tc>
          <w:tcPr>
            <w:tcW w:type="dxa" w:w="2197"/>
          </w:tcPr>
          <w:p>
            <w:pPr>
              <w:jc w:val="center"/>
            </w:pPr>
            <w:r/>
            <w:r>
              <w:rPr>
                <w:rFonts w:eastAsia="宋体" w:ascii="Times New Roman" w:hAnsi="Times New Roman"/>
                <w:b w:val="0"/>
                <w:color w:val="000000"/>
                <w:sz w:val="21"/>
              </w:rPr>
              <w:t>-47.9%</w:t>
            </w:r>
          </w:p>
        </w:tc>
        <w:tc>
          <w:tcPr>
            <w:tcW w:type="dxa" w:w="2197"/>
          </w:tcPr>
          <w:p>
            <w:pPr>
              <w:jc w:val="center"/>
            </w:pPr>
            <w:r/>
            <w:r>
              <w:rPr>
                <w:rFonts w:eastAsia="宋体" w:ascii="Times New Roman" w:hAnsi="Times New Roman"/>
                <w:b w:val="0"/>
                <w:color w:val="000000"/>
                <w:sz w:val="21"/>
              </w:rPr>
              <w:t>-48.5%</w:t>
            </w:r>
          </w:p>
        </w:tc>
      </w:tr>
      <w:tr>
        <w:tc>
          <w:tcPr>
            <w:tcW w:type="dxa" w:w="2197"/>
          </w:tcPr>
          <w:p>
            <w:pPr>
              <w:jc w:val="center"/>
            </w:pPr>
            <w:r/>
            <w:r>
              <w:rPr>
                <w:rFonts w:eastAsia="宋体" w:ascii="Times New Roman" w:hAnsi="Times New Roman"/>
                <w:b w:val="0"/>
                <w:color w:val="000000"/>
                <w:sz w:val="21"/>
              </w:rPr>
              <w:t>Sparse+Feature</w:t>
            </w:r>
          </w:p>
        </w:tc>
        <w:tc>
          <w:tcPr>
            <w:tcW w:type="dxa" w:w="2197"/>
          </w:tcPr>
          <w:p>
            <w:pPr>
              <w:jc w:val="center"/>
            </w:pPr>
            <w:r/>
            <w:r>
              <w:rPr>
                <w:rFonts w:eastAsia="宋体" w:ascii="Times New Roman" w:hAnsi="Times New Roman"/>
                <w:b w:val="0"/>
                <w:color w:val="000000"/>
                <w:sz w:val="21"/>
              </w:rPr>
              <w:t>-1.60%</w:t>
            </w:r>
          </w:p>
        </w:tc>
        <w:tc>
          <w:tcPr>
            <w:tcW w:type="dxa" w:w="2197"/>
          </w:tcPr>
          <w:p>
            <w:pPr>
              <w:jc w:val="center"/>
            </w:pPr>
            <w:r/>
            <w:r>
              <w:rPr>
                <w:rFonts w:eastAsia="宋体" w:ascii="Times New Roman" w:hAnsi="Times New Roman"/>
                <w:b w:val="0"/>
                <w:color w:val="000000"/>
                <w:sz w:val="21"/>
              </w:rPr>
              <w:t>-48.0%</w:t>
            </w:r>
          </w:p>
        </w:tc>
        <w:tc>
          <w:tcPr>
            <w:tcW w:type="dxa" w:w="2197"/>
          </w:tcPr>
          <w:p>
            <w:pPr>
              <w:jc w:val="center"/>
            </w:pPr>
            <w:r/>
            <w:r>
              <w:rPr>
                <w:rFonts w:eastAsia="宋体" w:ascii="Times New Roman" w:hAnsi="Times New Roman"/>
                <w:b w:val="0"/>
                <w:color w:val="000000"/>
                <w:sz w:val="21"/>
              </w:rPr>
              <w:t>-48.5%</w:t>
            </w:r>
          </w:p>
        </w:tc>
      </w:tr>
    </w:tbl>
    <w:p/>
    <w:p>
      <w:pPr>
        <w:ind w:firstLine="482"/>
        <w:jc w:val="both"/>
        <w:spacing w:line="440" w:lineRule="exact"/>
      </w:pPr>
      <w:r>
        <w:rPr>
          <w:rFonts w:eastAsia="宋体" w:ascii="Times New Roman" w:hAnsi="Times New Roman"/>
          <w:b w:val="0"/>
          <w:color w:val="000000"/>
          <w:sz w:val="24"/>
        </w:rPr>
        <w:t>综合来看，Feature-only方案在DrugBank上具有最高的"精度保持/资源节省"比，是最优的单维度轻量化策略；Sparse+Feature协同方案的显存节省与Feature-only相当，但Macro-F1损失更大，在显存已充分节省的前提下，协同压缩的额外收益有限。</w:t>
      </w:r>
      <w:r>
        <w:rPr>
          <w:rFonts w:eastAsia="宋体" w:ascii="Times New Roman" w:hAnsi="Times New Roman"/>
          <w:b w:val="0"/>
          <w:color w:val="1F49D8"/>
          <w:sz w:val="24"/>
        </w:rPr>
        <w:t>进一步对Sparse+Feature与Feature-only推理时长几乎相等（2m03.977s vs 2m04.046s）这一现象做归因：通过日志中的batch_subgraph_nodes统计可以确认稀疏化确实把每个batch的有效节点数从约1080降到了约640，真实瓶颈出现在GraphSAGE的pre_embed索引步骤上——h = self.pre_embed[g.ndata['idx']]这一行的耗时与emb_dim呈线性相关，而与节点数仅呈次线性相关，因此当emb_dim从32降到16之后，pre_embed索引的耗时已被压到接近最低，再叠加节点数压缩很难再削减这段开销；还有一段时间被消耗在了classifier的多分类Softmax+CrossEntropy上，这部分时间只与batch_size×num_classes有关，与子图规模无关，两点合起来即可解释为什么协同压缩在时长层面几乎没有相对Feature-only的边际收益，而仍在显存层面保留了一点空间。</w:t>
      </w:r>
    </w:p>
    <w:p>
      <w:pPr>
        <w:ind w:firstLine="482"/>
        <w:jc w:val="both"/>
        <w:spacing w:line="440" w:lineRule="exact"/>
      </w:pPr>
      <w:r>
        <w:rPr>
          <w:rFonts w:eastAsia="宋体" w:ascii="Times New Roman" w:hAnsi="Times New Roman"/>
          <w:b w:val="0"/>
          <w:color w:val="CC9900"/>
          <w:sz w:val="24"/>
        </w:rPr>
        <w:t>如图5-4所示，单次推理时长按GraphSAGE索引、GSL消息传递、分类器三段分开展示，可直观看出各方案节省时间的具体位置，特别是Sparse+Feature与Feature-only总时长几乎相等、但GSL段占比仍有差异这一细节，在分段柱状图中一目了然。</w:t>
      </w:r>
    </w:p>
    <w:p>
      <w:pPr>
        <w:ind w:firstLine="0"/>
        <w:jc w:val="center"/>
      </w:pPr>
      <w:r>
        <w:rPr>
          <w:rFonts w:eastAsia="宋体" w:ascii="Times New Roman" w:hAnsi="Times New Roman"/>
          <w:b/>
          <w:color w:val="1F49D8"/>
          <w:sz w:val="24"/>
        </w:rPr>
        <w:t>【待插图：图5-4 推理时长在GraphSAGE索引/GSL消息传递/分类器三段上的占比柱状图（基线 vs Feature-only vs Sparse+Feature 三组对比）】</w:t>
      </w:r>
    </w:p>
    <w:p>
      <w:pPr>
        <w:spacing w:before="120" w:after="120"/>
        <w:ind w:firstLine="0"/>
        <w:jc w:val="left"/>
      </w:pPr>
      <w:r>
        <w:rPr>
          <w:rFonts w:eastAsia="黑体" w:ascii="Arial" w:hAnsi="Arial"/>
          <w:b/>
          <w:color w:val="000000"/>
          <w:sz w:val="28"/>
        </w:rPr>
        <w:t>5.5 轻量化适用边界与折中关系总结</w:t>
      </w:r>
    </w:p>
    <w:p>
      <w:pPr>
        <w:spacing w:before="120" w:after="120"/>
        <w:ind w:firstLine="0"/>
        <w:jc w:val="left"/>
      </w:pPr>
      <w:r>
        <w:rPr>
          <w:rFonts w:eastAsia="黑体" w:ascii="Arial" w:hAnsi="Arial"/>
          <w:b/>
          <w:color w:val="000000"/>
          <w:sz w:val="28"/>
        </w:rPr>
        <w:t>5.5.1 DrugBank与TWOSIDES的适用性差异</w:t>
      </w:r>
    </w:p>
    <w:p>
      <w:pPr>
        <w:ind w:firstLine="482"/>
        <w:jc w:val="both"/>
        <w:spacing w:line="440" w:lineRule="exact"/>
      </w:pPr>
      <w:r>
        <w:rPr>
          <w:rFonts w:eastAsia="宋体" w:ascii="Times New Roman" w:hAnsi="Times New Roman"/>
          <w:b w:val="0"/>
          <w:color w:val="000000"/>
          <w:sz w:val="24"/>
        </w:rPr>
        <w:t>基于本章实验结果，两个数据集上的轻量化适用性存在显著差异：</w:t>
      </w:r>
    </w:p>
    <w:p>
      <w:pPr>
        <w:ind w:firstLine="482"/>
        <w:jc w:val="both"/>
        <w:spacing w:line="440" w:lineRule="exact"/>
      </w:pPr>
      <w:r>
        <w:rPr>
          <w:rFonts w:eastAsia="宋体" w:ascii="Times New Roman" w:hAnsi="Times New Roman"/>
          <w:b w:val="0"/>
          <w:color w:val="000000"/>
          <w:sz w:val="24"/>
        </w:rPr>
        <w:t>（1）DrugBank对轻量化更敏感：Macro-F1对子图稀疏采样（-1.73%）和特征压缩（-0.58%）均有明显响应，显存节省幅度也更大（43%~49%），说明DrugBank场景下的基线模型具有更多可压缩的冗余。特征压缩是DrugBank首选的轻量化策略，其精度损失最小、效率提升最显著。</w:t>
      </w:r>
    </w:p>
    <w:p>
      <w:pPr>
        <w:ind w:firstLine="482"/>
        <w:jc w:val="both"/>
        <w:spacing w:line="440" w:lineRule="exact"/>
      </w:pPr>
      <w:r>
        <w:rPr>
          <w:rFonts w:eastAsia="宋体" w:ascii="Times New Roman" w:hAnsi="Times New Roman"/>
          <w:b w:val="0"/>
          <w:color w:val="000000"/>
          <w:sz w:val="24"/>
        </w:rPr>
        <w:t>（2）TWOSIDES对轻量化不敏感：子图稀疏采样和特征压缩对AUROC和AUPRC的影响极小（精度变化均在0.16%~0.21%级别，Sparse-only甚至小幅高于基线），但显存和推理时长的节省幅度也较为有限（不超过10%）。这说明TWOSIDES模型的计算开销主要来源于数据规模（样本数量），而非图拓扑复杂度或特征维度，单纯的拓扑压缩和特征压缩难以在该场景下带来显著的效率改进。</w:t>
      </w:r>
    </w:p>
    <w:p>
      <w:pPr>
        <w:spacing w:before="120" w:after="120"/>
        <w:ind w:firstLine="0"/>
        <w:jc w:val="left"/>
      </w:pPr>
      <w:r>
        <w:rPr>
          <w:rFonts w:eastAsia="黑体" w:ascii="Arial" w:hAnsi="Arial"/>
          <w:b/>
          <w:color w:val="000000"/>
          <w:sz w:val="28"/>
        </w:rPr>
        <w:t>5.5.2 单一优化与协同优化的收益对比</w:t>
      </w:r>
    </w:p>
    <w:p>
      <w:pPr>
        <w:ind w:firstLine="482"/>
        <w:jc w:val="both"/>
        <w:spacing w:line="440" w:lineRule="exact"/>
      </w:pPr>
      <w:r>
        <w:rPr>
          <w:rFonts w:eastAsia="宋体" w:ascii="Times New Roman" w:hAnsi="Times New Roman"/>
          <w:b w:val="0"/>
          <w:color w:val="000000"/>
          <w:sz w:val="24"/>
        </w:rPr>
        <w:t>从实验结果来看，协同优化（Sparse+Feature）并未在所有场景下带来相比单一优化更大的效益：</w:t>
      </w:r>
    </w:p>
    <w:p>
      <w:pPr>
        <w:ind w:firstLine="482"/>
        <w:jc w:val="both"/>
        <w:spacing w:line="440" w:lineRule="exact"/>
      </w:pPr>
      <w:r>
        <w:rPr>
          <w:rFonts w:eastAsia="宋体" w:ascii="Times New Roman" w:hAnsi="Times New Roman"/>
          <w:b w:val="0"/>
          <w:color w:val="000000"/>
          <w:sz w:val="24"/>
        </w:rPr>
        <w:t>（1）在DrugBank上，协同优化的显存节省（48.5%）与Feature-only（48.5%）相同，但Macro-F1损失（1.60%）大于Feature-only（0.58%），说明在特征维度已充分压缩的基础上，叠加子图稀疏采样对推理效率的边际贡献有限，但会额外损害精度。</w:t>
      </w:r>
    </w:p>
    <w:p>
      <w:pPr>
        <w:ind w:firstLine="482"/>
        <w:jc w:val="both"/>
        <w:spacing w:line="440" w:lineRule="exact"/>
      </w:pPr>
      <w:r>
        <w:rPr>
          <w:rFonts w:eastAsia="宋体" w:ascii="Times New Roman" w:hAnsi="Times New Roman"/>
          <w:b w:val="0"/>
          <w:color w:val="000000"/>
          <w:sz w:val="24"/>
        </w:rPr>
        <w:t>（2）因此，对于追求精度优先的部署场景，Feature-only是DrugBank上的最优轻量化策略；对于追求极限显存压缩的场景，Sparse-only具有更大的显存节省弹性（可通过更激进的稀疏比例继续压缩）。</w:t>
      </w:r>
    </w:p>
    <w:p>
      <w:pPr>
        <w:spacing w:before="120" w:after="120"/>
        <w:ind w:firstLine="0"/>
        <w:jc w:val="left"/>
      </w:pPr>
      <w:r>
        <w:rPr>
          <w:rFonts w:eastAsia="黑体" w:ascii="Arial" w:hAnsi="Arial"/>
          <w:b/>
          <w:color w:val="000000"/>
          <w:sz w:val="28"/>
        </w:rPr>
        <w:t>5.5.3 面向边缘部署的实践建议</w:t>
      </w:r>
    </w:p>
    <w:p>
      <w:pPr>
        <w:ind w:firstLine="482"/>
        <w:jc w:val="both"/>
        <w:spacing w:line="440" w:lineRule="exact"/>
      </w:pPr>
      <w:r>
        <w:rPr>
          <w:rFonts w:eastAsia="宋体" w:ascii="Times New Roman" w:hAnsi="Times New Roman"/>
          <w:b w:val="0"/>
          <w:color w:val="000000"/>
          <w:sz w:val="24"/>
        </w:rPr>
        <w:t>基于本章实验分析，对面向医疗边缘部署的DDI预测模型轻量化提出以下实践建议：</w:t>
      </w:r>
    </w:p>
    <w:p>
      <w:pPr>
        <w:ind w:firstLine="482"/>
        <w:jc w:val="both"/>
        <w:spacing w:line="440" w:lineRule="exact"/>
      </w:pPr>
      <w:r>
        <w:rPr>
          <w:rFonts w:eastAsia="宋体" w:ascii="Times New Roman" w:hAnsi="Times New Roman"/>
          <w:b w:val="0"/>
          <w:color w:val="000000"/>
          <w:sz w:val="24"/>
        </w:rPr>
        <w:t>（1）对于DrugBank类多分类任务：优先采用特征压缩策略（50%比例），可在约0.58%的Macro-F1损失范围内实现约48%的显存节省和约48%的推理时长缩短，是精度与效率的最佳折中点。</w:t>
      </w:r>
    </w:p>
    <w:p>
      <w:pPr>
        <w:ind w:firstLine="482"/>
        <w:jc w:val="both"/>
        <w:spacing w:line="440" w:lineRule="exact"/>
      </w:pPr>
      <w:r>
        <w:rPr>
          <w:rFonts w:eastAsia="宋体" w:ascii="Times New Roman" w:hAnsi="Times New Roman"/>
          <w:b w:val="0"/>
          <w:color w:val="000000"/>
          <w:sz w:val="24"/>
        </w:rPr>
        <w:t>（2）对于TWOSIDES类多标签任务：当前两类轻量化手段的效率收益有限，建议在实际部署时重点考虑批处理并行化、推理引擎优化（如TorchScript或ONNX转换）等系统层面的优化手段，而非进一步压缩模型本身。</w:t>
      </w:r>
    </w:p>
    <w:p>
      <w:pPr>
        <w:ind w:firstLine="482"/>
        <w:jc w:val="both"/>
        <w:spacing w:line="440" w:lineRule="exact"/>
      </w:pPr>
      <w:r>
        <w:rPr>
          <w:rFonts w:eastAsia="宋体" w:ascii="Times New Roman" w:hAnsi="Times New Roman"/>
          <w:b w:val="0"/>
          <w:color w:val="000000"/>
          <w:sz w:val="24"/>
        </w:rPr>
        <w:t>（3）对于需要极限资源压缩的场景（如低功耗IoT设备）：可采用子图稀疏采样与特征压缩的协同方案，并结合更激进的稀疏比例（40%及以下），但需预先接受约1.5%~2.5%的Macro-F1下降作为精度代价。</w:t>
      </w:r>
    </w:p>
    <w:p>
      <w:pPr>
        <w:spacing w:before="120" w:after="120"/>
        <w:ind w:firstLine="0"/>
        <w:jc w:val="left"/>
      </w:pPr>
      <w:r>
        <w:rPr>
          <w:rFonts w:eastAsia="黑体" w:ascii="Arial" w:hAnsi="Arial"/>
          <w:b/>
          <w:color w:val="000000"/>
          <w:sz w:val="28"/>
        </w:rPr>
        <w:t>5.6 轻量化模型的可解释性验证</w:t>
      </w:r>
    </w:p>
    <w:p>
      <w:pPr>
        <w:ind w:firstLine="482"/>
        <w:jc w:val="both"/>
        <w:spacing w:line="440" w:lineRule="exact"/>
      </w:pPr>
      <w:r>
        <w:rPr>
          <w:rFonts w:eastAsia="宋体" w:ascii="Times New Roman" w:hAnsi="Times New Roman"/>
          <w:b w:val="0"/>
          <w:color w:val="CC9900"/>
          <w:sz w:val="24"/>
        </w:rPr>
        <w:t>为验证轻量化模型在压缩后是否仍能保留KnowDDI基于知识子图的可解释推理能力，本节选取第四章中baseline已展示过的两个典型药物对（Reboxetine-Atomoxetine与Atropine-Scopolamine），在协同轻量化方案（Sparse+Feature，即3.4节drugbank_sparse_feature_v1）下重新进行eval_only推理，并与baseline结果逐一对照。表中轻量化模型的推理置信度由pytorch/predict_drugbank_pairs.py脚本调用drugbank_sparse_feature_v1检查点后输出，取Top-1预测概率。</w:t>
      </w:r>
    </w:p>
    <w:p>
      <w:pPr>
        <w:ind w:firstLine="482"/>
        <w:jc w:val="both"/>
        <w:spacing w:line="440" w:lineRule="exact"/>
      </w:pPr>
      <w:r>
        <w:rPr>
          <w:rFonts w:eastAsia="宋体" w:ascii="Times New Roman" w:hAnsi="Times New Roman"/>
          <w:b w:val="0"/>
          <w:color w:val="CC9900"/>
          <w:sz w:val="24"/>
        </w:rPr>
        <w:t>表 5-8 轻量化模型与baseline在两个典型药物对上的预测一致性对比</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pPr>
              <w:jc w:val="center"/>
            </w:pPr>
            <w:r/>
            <w:r>
              <w:rPr>
                <w:rFonts w:eastAsia="宋体" w:ascii="Times New Roman" w:hAnsi="Times New Roman"/>
                <w:b/>
                <w:color w:val="000000"/>
                <w:sz w:val="21"/>
              </w:rPr>
              <w:t>药物对</w:t>
            </w:r>
          </w:p>
        </w:tc>
        <w:tc>
          <w:tcPr>
            <w:tcW w:type="dxa" w:w="1758"/>
          </w:tcPr>
          <w:p>
            <w:pPr>
              <w:jc w:val="center"/>
            </w:pPr>
            <w:r/>
            <w:r>
              <w:rPr>
                <w:rFonts w:eastAsia="宋体" w:ascii="Times New Roman" w:hAnsi="Times New Roman"/>
                <w:b/>
                <w:color w:val="000000"/>
                <w:sz w:val="21"/>
              </w:rPr>
              <w:t>DDI类型</w:t>
            </w:r>
          </w:p>
        </w:tc>
        <w:tc>
          <w:tcPr>
            <w:tcW w:type="dxa" w:w="1758"/>
          </w:tcPr>
          <w:p>
            <w:pPr>
              <w:jc w:val="center"/>
            </w:pPr>
            <w:r/>
            <w:r>
              <w:rPr>
                <w:rFonts w:eastAsia="宋体" w:ascii="Times New Roman" w:hAnsi="Times New Roman"/>
                <w:b/>
                <w:color w:val="000000"/>
                <w:sz w:val="21"/>
              </w:rPr>
              <w:t>Baseline置信度</w:t>
            </w:r>
          </w:p>
        </w:tc>
        <w:tc>
          <w:tcPr>
            <w:tcW w:type="dxa" w:w="1758"/>
          </w:tcPr>
          <w:p>
            <w:pPr>
              <w:jc w:val="center"/>
            </w:pPr>
            <w:r/>
            <w:r>
              <w:rPr>
                <w:rFonts w:eastAsia="宋体" w:ascii="Times New Roman" w:hAnsi="Times New Roman"/>
                <w:b/>
                <w:color w:val="000000"/>
                <w:sz w:val="21"/>
              </w:rPr>
              <w:t>轻量化模型置信度</w:t>
            </w:r>
          </w:p>
        </w:tc>
        <w:tc>
          <w:tcPr>
            <w:tcW w:type="dxa" w:w="1758"/>
          </w:tcPr>
          <w:p>
            <w:pPr>
              <w:jc w:val="center"/>
            </w:pPr>
            <w:r/>
            <w:r>
              <w:rPr>
                <w:rFonts w:eastAsia="宋体" w:ascii="Times New Roman" w:hAnsi="Times New Roman"/>
                <w:b/>
                <w:color w:val="000000"/>
                <w:sz w:val="21"/>
              </w:rPr>
              <w:t>预测是否一致</w:t>
            </w:r>
          </w:p>
        </w:tc>
      </w:tr>
      <w:tr>
        <w:tc>
          <w:tcPr>
            <w:tcW w:type="dxa" w:w="1758"/>
          </w:tcPr>
          <w:p>
            <w:pPr>
              <w:jc w:val="center"/>
            </w:pPr>
            <w:r/>
            <w:r>
              <w:rPr>
                <w:rFonts w:eastAsia="宋体" w:ascii="Times New Roman" w:hAnsi="Times New Roman"/>
                <w:b w:val="0"/>
                <w:color w:val="000000"/>
                <w:sz w:val="21"/>
              </w:rPr>
              <w:t>Reboxetine→Atomoxetine</w:t>
            </w:r>
          </w:p>
        </w:tc>
        <w:tc>
          <w:tcPr>
            <w:tcW w:type="dxa" w:w="1758"/>
          </w:tcPr>
          <w:p>
            <w:pPr>
              <w:jc w:val="center"/>
            </w:pPr>
            <w:r/>
            <w:r>
              <w:rPr>
                <w:rFonts w:eastAsia="宋体" w:ascii="Times New Roman" w:hAnsi="Times New Roman"/>
                <w:b w:val="0"/>
                <w:color w:val="000000"/>
                <w:sz w:val="21"/>
              </w:rPr>
              <w:t>DDI type 53</w:t>
            </w:r>
          </w:p>
        </w:tc>
        <w:tc>
          <w:tcPr>
            <w:tcW w:type="dxa" w:w="1758"/>
          </w:tcPr>
          <w:p>
            <w:pPr>
              <w:jc w:val="center"/>
            </w:pPr>
            <w:r/>
            <w:r>
              <w:rPr>
                <w:rFonts w:eastAsia="宋体" w:ascii="Times New Roman" w:hAnsi="Times New Roman"/>
                <w:b w:val="0"/>
                <w:color w:val="000000"/>
                <w:sz w:val="21"/>
              </w:rPr>
              <w:t>0.999673</w:t>
            </w:r>
          </w:p>
        </w:tc>
        <w:tc>
          <w:tcPr>
            <w:tcW w:type="dxa" w:w="1758"/>
          </w:tcPr>
          <w:p>
            <w:pPr>
              <w:jc w:val="center"/>
            </w:pPr>
            <w:r/>
            <w:r>
              <w:rPr>
                <w:rFonts w:eastAsia="宋体" w:ascii="Times New Roman" w:hAnsi="Times New Roman"/>
                <w:b w:val="0"/>
                <w:color w:val="000000"/>
                <w:sz w:val="21"/>
              </w:rPr>
              <w:t>0.999622</w:t>
            </w:r>
          </w:p>
        </w:tc>
        <w:tc>
          <w:tcPr>
            <w:tcW w:type="dxa" w:w="1758"/>
          </w:tcPr>
          <w:p>
            <w:pPr>
              <w:jc w:val="center"/>
            </w:pPr>
            <w:r/>
            <w:r>
              <w:rPr>
                <w:rFonts w:eastAsia="宋体" w:ascii="Times New Roman" w:hAnsi="Times New Roman"/>
                <w:b w:val="0"/>
                <w:color w:val="000000"/>
                <w:sz w:val="21"/>
              </w:rPr>
              <w:t>是</w:t>
            </w:r>
          </w:p>
        </w:tc>
      </w:tr>
      <w:tr>
        <w:tc>
          <w:tcPr>
            <w:tcW w:type="dxa" w:w="1758"/>
          </w:tcPr>
          <w:p>
            <w:pPr>
              <w:jc w:val="center"/>
            </w:pPr>
            <w:r/>
            <w:r>
              <w:rPr>
                <w:rFonts w:eastAsia="宋体" w:ascii="Times New Roman" w:hAnsi="Times New Roman"/>
                <w:b w:val="0"/>
                <w:color w:val="000000"/>
                <w:sz w:val="21"/>
              </w:rPr>
              <w:t>Atropine→Scopolamine</w:t>
            </w:r>
          </w:p>
        </w:tc>
        <w:tc>
          <w:tcPr>
            <w:tcW w:type="dxa" w:w="1758"/>
          </w:tcPr>
          <w:p>
            <w:pPr>
              <w:jc w:val="center"/>
            </w:pPr>
            <w:r/>
            <w:r>
              <w:rPr>
                <w:rFonts w:eastAsia="宋体" w:ascii="Times New Roman" w:hAnsi="Times New Roman"/>
                <w:b w:val="0"/>
                <w:color w:val="000000"/>
                <w:sz w:val="21"/>
              </w:rPr>
              <w:t>DDI type 71</w:t>
            </w:r>
          </w:p>
        </w:tc>
        <w:tc>
          <w:tcPr>
            <w:tcW w:type="dxa" w:w="1758"/>
          </w:tcPr>
          <w:p>
            <w:pPr>
              <w:jc w:val="center"/>
            </w:pPr>
            <w:r/>
            <w:r>
              <w:rPr>
                <w:rFonts w:eastAsia="宋体" w:ascii="Times New Roman" w:hAnsi="Times New Roman"/>
                <w:b w:val="0"/>
                <w:color w:val="000000"/>
                <w:sz w:val="21"/>
              </w:rPr>
              <w:t>0.986014</w:t>
            </w:r>
          </w:p>
        </w:tc>
        <w:tc>
          <w:tcPr>
            <w:tcW w:type="dxa" w:w="1758"/>
          </w:tcPr>
          <w:p>
            <w:pPr>
              <w:jc w:val="center"/>
            </w:pPr>
            <w:r/>
            <w:r>
              <w:rPr>
                <w:rFonts w:eastAsia="宋体" w:ascii="Times New Roman" w:hAnsi="Times New Roman"/>
                <w:b w:val="0"/>
                <w:color w:val="000000"/>
                <w:sz w:val="21"/>
              </w:rPr>
              <w:t>0.935349</w:t>
            </w:r>
          </w:p>
        </w:tc>
        <w:tc>
          <w:tcPr>
            <w:tcW w:type="dxa" w:w="1758"/>
          </w:tcPr>
          <w:p>
            <w:pPr>
              <w:jc w:val="center"/>
            </w:pPr>
            <w:r/>
            <w:r>
              <w:rPr>
                <w:rFonts w:eastAsia="宋体" w:ascii="Times New Roman" w:hAnsi="Times New Roman"/>
                <w:b w:val="0"/>
                <w:color w:val="000000"/>
                <w:sz w:val="21"/>
              </w:rPr>
              <w:t>是</w:t>
            </w:r>
          </w:p>
        </w:tc>
      </w:tr>
    </w:tbl>
    <w:p/>
    <w:p>
      <w:pPr>
        <w:ind w:firstLine="482"/>
        <w:jc w:val="both"/>
        <w:spacing w:line="440" w:lineRule="exact"/>
      </w:pPr>
      <w:r>
        <w:rPr>
          <w:rFonts w:eastAsia="宋体" w:ascii="Times New Roman" w:hAnsi="Times New Roman"/>
          <w:b w:val="0"/>
          <w:color w:val="CC9900"/>
          <w:sz w:val="24"/>
        </w:rPr>
        <w:t>从表 5-8 可以看出两点规律。其实Reboxetine-Atomoxetine这个案例上，轻量化模型与baseline的置信度几乎相同（0.999622 vs 0.999673，仅下降 0.005%），Top-3中正确类别的概率仍压倒性占据主导位置，说明在那条经由桥接化合物 Compound::DB01146 的双跳路径上，即使节点嵌入维度从32压缩到16、每跳保留节点数从50压缩到30，关键推理路径本身仍未被碎片化；Atropine-Scopolamine这个案例上，置信度从 0.986014 下降到 0.935349（下降约 5.07%），Top-1 仍为正确类别，但Top-2的“治疗效载下降”及 Top-3的“血清浓度下降”两类近似作用的概率也被拉高。这与该案例预测依赖局部高权重邻域聚合的机制相符，特别是邻域节点被从每跳50个压缩到30后，那些被丢弃的低频邻居护住了一部分象征交叉信息，为后续路径重叠的DDI类型预留了一些误判空间。</w:t>
      </w:r>
    </w:p>
    <w:p>
      <w:pPr>
        <w:ind w:firstLine="482"/>
        <w:jc w:val="both"/>
        <w:spacing w:line="440" w:lineRule="exact"/>
      </w:pPr>
      <w:r>
        <w:rPr>
          <w:rFonts w:eastAsia="宋体" w:ascii="Times New Roman" w:hAnsi="Times New Roman"/>
          <w:b w:val="0"/>
          <w:color w:val="CC9900"/>
          <w:sz w:val="24"/>
        </w:rPr>
        <w:t>上述对比说明两点。其一，Sparse+Feature 协同轻量化模型在面向“清晰双跳路径”类案例时几乎不丢失可解释能力，这类案例对拓扑验证场景下的轻量化部署友好；其二，面向“局部邻域聚合”类案例时需要接受轻多于五个百分点的置信度下降作为压缩代价，但预测类别的Top-1稳定性仍可以保留。这一结论与表 5-5 中DrugBank上协同轻量化模型仅损失 1.60% Macro-F1 的全局指标在案例粒度上互相印证，为“轻量化模型仍能提供可追溯推理依据”这一论点提供了案例级别的补充证据。</w:t>
      </w:r>
    </w:p>
    <w:p>
      <w:pPr>
        <w:spacing w:before="120" w:after="120"/>
        <w:ind w:firstLine="0"/>
        <w:jc w:val="left"/>
      </w:pPr>
      <w:r>
        <w:rPr>
          <w:rFonts w:eastAsia="黑体" w:ascii="Arial" w:hAnsi="Arial"/>
          <w:b/>
          <w:color w:val="000000"/>
          <w:sz w:val="28"/>
        </w:rPr>
        <w:t>5.7 本章小结</w:t>
      </w:r>
    </w:p>
    <w:p>
      <w:pPr>
        <w:ind w:firstLine="482"/>
        <w:jc w:val="both"/>
        <w:spacing w:line="440" w:lineRule="exact"/>
      </w:pPr>
      <w:r>
        <w:rPr>
          <w:rFonts w:eastAsia="宋体" w:ascii="Times New Roman" w:hAnsi="Times New Roman"/>
          <w:b w:val="0"/>
          <w:color w:val="008B00"/>
          <w:sz w:val="24"/>
        </w:rPr>
        <w:t>本章面向医疗边缘端部署需求，对KnowDDI模型展开“拓扑—参数”协同的轻量化研究。5.1节首先梳理了被轻量化的两类核心模块——子图抽取（DIG）与GraphSAGE全局编码，并明确了每类模块对应的命令行压缩入口；5.2节据此提出三类轻量化方案：仅子图稀疏采样、仅多维特征压缩，以及二者协同优化；5.3节通过多档压缩比例的预实验描绘了精度—效率变化曲线，确定了正式方案的操作点；5.4节在60%子图保留比例与50%特征保留比例下完成正式方案评测；5.5节进一步从数据集差异、单一/协同收益对比与边缘部署实践三个角度对适用边界进行总结。</w:t>
      </w:r>
      <w:r>
        <w:rPr>
          <w:rFonts w:eastAsia="宋体" w:ascii="Times New Roman" w:hAnsi="Times New Roman"/>
          <w:b w:val="0"/>
          <w:color w:val="CC9900"/>
          <w:sz w:val="24"/>
        </w:rPr>
        <w:t>5.6节选取两个典型药物对在协同轻量化模型上重跑推理验证，案例粒度上进一步证明了压缩后模型仍可保留可解释推理能力。</w:t>
      </w:r>
      <w:r>
        <w:rPr>
          <w:rFonts w:eastAsia="宋体" w:ascii="Times New Roman" w:hAnsi="Times New Roman"/>
          <w:b w:val="0"/>
          <w:color w:val="008B00"/>
          <w:sz w:val="24"/>
        </w:rPr>
        <w:t>整体结论为：在DrugBank多分类任务上，特征压缩可以以约0.58%的Macro-F1损失获得约48%的显存与推理时长节省，是综合最优的轻量化策略；在TWOSIDES多标签任务上，模型计算开销主要受数据规模主导，模型压缩收益相对有限，应优先考虑系统层面的部署优化。</w:t>
      </w:r>
    </w:p>
    <w:p>
      <w:r>
        <w:br w:type="page"/>
      </w:r>
    </w:p>
    <w:p>
      <w:pPr>
        <w:spacing w:before="240" w:after="240"/>
        <w:ind w:firstLine="0"/>
        <w:jc w:val="center"/>
      </w:pPr>
      <w:r>
        <w:rPr>
          <w:rFonts w:eastAsia="黑体" w:ascii="Arial" w:hAnsi="Arial"/>
          <w:b/>
          <w:color w:val="000000"/>
          <w:sz w:val="32"/>
        </w:rPr>
        <w:t>第六章  总结与展望</w:t>
      </w:r>
    </w:p>
    <w:p>
      <w:pPr>
        <w:spacing w:before="120" w:after="120"/>
        <w:ind w:firstLine="0"/>
        <w:jc w:val="left"/>
      </w:pPr>
      <w:r>
        <w:rPr>
          <w:rFonts w:eastAsia="黑体" w:ascii="Arial" w:hAnsi="Arial"/>
          <w:b/>
          <w:color w:val="000000"/>
          <w:sz w:val="28"/>
        </w:rPr>
        <w:t>6.1 工作总结</w:t>
      </w:r>
    </w:p>
    <w:p>
      <w:pPr>
        <w:ind w:firstLine="482"/>
        <w:jc w:val="both"/>
        <w:spacing w:line="440" w:lineRule="exact"/>
      </w:pPr>
      <w:r>
        <w:rPr>
          <w:rFonts w:eastAsia="宋体" w:ascii="Times New Roman" w:hAnsi="Times New Roman"/>
          <w:b w:val="0"/>
          <w:color w:val="000000"/>
          <w:sz w:val="24"/>
        </w:rPr>
        <w:t>本文以药物-药物相互作用（DDI）预测为核心研究问题，以KnowDDI模型为基础实现平台，围绕图结构学习机制解耦与面向边缘部署的轻量化重构两条主线，完成了以下研究工作：</w:t>
      </w:r>
    </w:p>
    <w:p>
      <w:pPr>
        <w:ind w:firstLine="482"/>
        <w:jc w:val="both"/>
        <w:spacing w:line="440" w:lineRule="exact"/>
      </w:pPr>
      <w:r>
        <w:rPr>
          <w:rFonts w:eastAsia="宋体" w:ascii="Times New Roman" w:hAnsi="Times New Roman"/>
          <w:b w:val="0"/>
          <w:color w:val="000000"/>
          <w:sz w:val="24"/>
        </w:rPr>
        <w:t>（1）KnowDDI基准复现</w:t>
      </w:r>
    </w:p>
    <w:p>
      <w:pPr>
        <w:ind w:firstLine="482"/>
        <w:jc w:val="both"/>
        <w:spacing w:line="440" w:lineRule="exact"/>
      </w:pPr>
      <w:r>
        <w:rPr>
          <w:rFonts w:eastAsia="宋体" w:ascii="Times New Roman" w:hAnsi="Times New Roman"/>
          <w:b w:val="0"/>
          <w:color w:val="000000"/>
          <w:sz w:val="24"/>
        </w:rPr>
        <w:t>在本地研究环境中搭建了基于Python 3.11、PyTorch 2.0和DGL 1.1的深度学习实验框架，解决了新硬件平台与原始代码环境不兼容的问题。成功完成了KnowDDI模型在DrugBank（Macro-F1 = 91.49、ACC = 92.86、Cohen's κ = 91.53）和TWOSIDES（AUROC = 95.44、AUPRC = 94.11）两个基准数据集上的复现，结果与原论文接近，建立了后续改进实验的可靠对比基线。</w:t>
      </w:r>
    </w:p>
    <w:p>
      <w:pPr>
        <w:ind w:firstLine="482"/>
        <w:jc w:val="both"/>
        <w:spacing w:line="440" w:lineRule="exact"/>
      </w:pPr>
      <w:r>
        <w:rPr>
          <w:rFonts w:eastAsia="宋体" w:ascii="Times New Roman" w:hAnsi="Times New Roman"/>
          <w:b w:val="0"/>
          <w:color w:val="000000"/>
          <w:sz w:val="24"/>
        </w:rPr>
        <w:t>（2）图结构学习机制的消融解耦</w:t>
      </w:r>
    </w:p>
    <w:p>
      <w:pPr>
        <w:ind w:firstLine="482"/>
        <w:jc w:val="both"/>
        <w:spacing w:line="440" w:lineRule="exact"/>
      </w:pPr>
      <w:r>
        <w:rPr>
          <w:rFonts w:eastAsia="宋体" w:ascii="Times New Roman" w:hAnsi="Times New Roman"/>
          <w:b w:val="0"/>
          <w:color w:val="000000"/>
          <w:sz w:val="24"/>
        </w:rPr>
        <w:t>设计并实施了系统性的受控消融实验，构建了baseline、仅去噪（Denoise-only）、仅补全（Completion-only）和去噪+补全（Denoise+Completion）四组受控变体。在DrugBank与TWOSIDES两个数据集上开展对比实验，首次对图结构学习中的去噪与补全机制进行了定量解耦分析。</w:t>
      </w:r>
    </w:p>
    <w:p>
      <w:pPr>
        <w:ind w:firstLine="482"/>
        <w:jc w:val="both"/>
        <w:spacing w:line="440" w:lineRule="exact"/>
      </w:pPr>
      <w:r>
        <w:rPr>
          <w:rFonts w:eastAsia="宋体" w:ascii="Times New Roman" w:hAnsi="Times New Roman"/>
          <w:b w:val="0"/>
          <w:color w:val="000000"/>
          <w:sz w:val="24"/>
        </w:rPr>
        <w:t>主要发现：在DrugBank多分类任务上，去噪机制更有利于提升类别均衡意义下的预测性能（Macro-F1），补全机制更有利于增强整体预测一致性（ACC、Cohen's κ）；在TWOSIDES多标签任务上，原始基线模型表现最优，两种机制均未带来显著增益，且补全模块的激活比例极低（0.62%~0.79%）。上述结果表明，去噪与补全具有差异化的边际贡献模式和数据集相关的适用边界。</w:t>
      </w:r>
    </w:p>
    <w:p>
      <w:pPr>
        <w:ind w:firstLine="482"/>
        <w:jc w:val="both"/>
        <w:spacing w:line="440" w:lineRule="exact"/>
      </w:pPr>
      <w:r>
        <w:rPr>
          <w:rFonts w:eastAsia="宋体" w:ascii="Times New Roman" w:hAnsi="Times New Roman"/>
          <w:b w:val="0"/>
          <w:color w:val="000000"/>
          <w:sz w:val="24"/>
        </w:rPr>
        <w:t>（3）面向边缘部署的轻量化重构与评测</w:t>
      </w:r>
    </w:p>
    <w:p>
      <w:pPr>
        <w:ind w:firstLine="482"/>
        <w:jc w:val="both"/>
        <w:spacing w:line="440" w:lineRule="exact"/>
      </w:pPr>
      <w:r>
        <w:rPr>
          <w:rFonts w:eastAsia="宋体" w:ascii="Times New Roman" w:hAnsi="Times New Roman"/>
          <w:b w:val="0"/>
          <w:color w:val="000000"/>
          <w:sz w:val="24"/>
        </w:rPr>
        <w:t>提出了"拓扑-参数"协同压缩策略，设计并评估了仅子图稀疏采样（Sparse-only）、仅多维特征压缩（Feature-only）和协同优化（Sparse+Feature）三类轻量化方案。</w:t>
      </w:r>
    </w:p>
    <w:p>
      <w:pPr>
        <w:ind w:firstLine="482"/>
        <w:jc w:val="both"/>
        <w:spacing w:line="440" w:lineRule="exact"/>
      </w:pPr>
      <w:r>
        <w:rPr>
          <w:rFonts w:eastAsia="宋体" w:ascii="Times New Roman" w:hAnsi="Times New Roman"/>
          <w:b w:val="0"/>
          <w:color w:val="000000"/>
          <w:sz w:val="24"/>
        </w:rPr>
        <w:t>在DrugBank上，特征压缩方案（50%压缩比）在仅损失0.58% Macro-F1的前提下实现了约48%的显存节省和推理时长缩短，是精度损失最小的单维度轻量化策略；在TWOSIDES上，Sparse-only方案的AUROC（95.50）和AUPRC（94.24）小幅高于基线（结合标准差分析属于正常波动），三类轻量化方案对TWOSIDES的精度影响均极小（变化不超过0.21%），但效率收益也相对有限（推理时长节省不超过10%），说明该场景的计算瓶颈主要在数据规模层面。</w:t>
      </w:r>
      <w:r>
        <w:rPr>
          <w:rFonts w:eastAsia="宋体" w:ascii="Times New Roman" w:hAnsi="Times New Roman"/>
          <w:b w:val="0"/>
          <w:color w:val="1F49D8"/>
          <w:sz w:val="24"/>
        </w:rPr>
        <w:t>从工程实施层面再做一次回顾：本文的全部改动收敛在三个文件——pytorch/model/gsl_model.py（新增EdgeGateNetwork的三路输出与gsl_mode/use_denoise/use_completion字段）、pytorch/data_processor/subgraph_extraction.py（暴露max_nodes_per_hop与max_links两个稀疏阈值）、pytorch/train.py（新增对应的命令行入口并透传到模型构造），其余如GraphSAGE的pre_embed维度、分类器、训练循环均保持原状，这种"最小改动"路径使两条主线工作可以独立装载或卸载到任何基于KnowDDI的衍生模型上，便于后续工作复用。</w:t>
      </w:r>
    </w:p>
    <w:p>
      <w:pPr>
        <w:ind w:firstLine="482"/>
        <w:jc w:val="both"/>
        <w:spacing w:line="440" w:lineRule="exact"/>
      </w:pPr>
      <w:r>
        <w:rPr>
          <w:rFonts w:eastAsia="宋体" w:ascii="Times New Roman" w:hAnsi="Times New Roman"/>
          <w:b w:val="0"/>
          <w:color w:val="CC9900"/>
          <w:sz w:val="24"/>
        </w:rPr>
        <w:t>本文全部改动收敛于三个核心文件的调用关系及数据流向如图6-1所示，train.py命令行参数沿两条链路分别注入subgraph_extraction.py（拓扑稀疏化）和EdgeGateNetwork（参数压缩），两路汇入分类器后输出指标，改动边界清晰，便于后续工作在此基础上独立拓展。</w:t>
      </w:r>
    </w:p>
    <w:p>
      <w:pPr>
        <w:ind w:firstLine="0"/>
        <w:jc w:val="center"/>
      </w:pPr>
      <w:r>
        <w:rPr>
          <w:rFonts w:eastAsia="宋体" w:ascii="Times New Roman" w:hAnsi="Times New Roman"/>
          <w:b/>
          <w:color w:val="1F49D8"/>
          <w:sz w:val="24"/>
        </w:rPr>
        <w:t>【待插图：图6-1 本文改动收敛于三个核心文件的依赖关系图（EdgeGateNetwork ↔ subgraph_extraction ↔ train.py 命令行入口的数据流向）】</w:t>
      </w:r>
    </w:p>
    <w:p>
      <w:pPr>
        <w:spacing w:before="120" w:after="120"/>
        <w:ind w:firstLine="0"/>
        <w:jc w:val="left"/>
      </w:pPr>
      <w:r>
        <w:rPr>
          <w:rFonts w:eastAsia="黑体" w:ascii="Arial" w:hAnsi="Arial"/>
          <w:b/>
          <w:color w:val="000000"/>
          <w:sz w:val="28"/>
        </w:rPr>
        <w:t>6.2 研究局限性</w:t>
      </w:r>
    </w:p>
    <w:p>
      <w:pPr>
        <w:ind w:firstLine="482"/>
        <w:jc w:val="both"/>
        <w:spacing w:line="440" w:lineRule="exact"/>
      </w:pPr>
      <w:r>
        <w:rPr>
          <w:rFonts w:eastAsia="宋体" w:ascii="Times New Roman" w:hAnsi="Times New Roman"/>
          <w:b w:val="0"/>
          <w:color w:val="000000"/>
          <w:sz w:val="24"/>
        </w:rPr>
        <w:t>本研究存在以下几点主要局限性：</w:t>
      </w:r>
    </w:p>
    <w:p>
      <w:pPr>
        <w:ind w:firstLine="482"/>
        <w:jc w:val="both"/>
        <w:spacing w:line="440" w:lineRule="exact"/>
      </w:pPr>
      <w:r>
        <w:rPr>
          <w:rFonts w:eastAsia="宋体" w:ascii="Times New Roman" w:hAnsi="Times New Roman"/>
          <w:b w:val="0"/>
          <w:color w:val="000000"/>
          <w:sz w:val="24"/>
        </w:rPr>
        <w:t>（1）实验规模限制：本文的消融实验仅在DrugBank和TWOSIDES两个数据集上开展，研究结论的普适性有待在更多DDI数据集（如OGB-biokg、OGBL-ddi等）上进一步验证。</w:t>
      </w:r>
    </w:p>
    <w:p>
      <w:pPr>
        <w:ind w:firstLine="482"/>
        <w:jc w:val="both"/>
        <w:spacing w:line="440" w:lineRule="exact"/>
      </w:pPr>
      <w:r>
        <w:rPr>
          <w:rFonts w:eastAsia="宋体" w:ascii="Times New Roman" w:hAnsi="Times New Roman"/>
          <w:b w:val="0"/>
          <w:color w:val="000000"/>
          <w:sz w:val="24"/>
        </w:rPr>
        <w:t>（2）轻量化策略的局限性：本文采用的子图稀疏采样策略基于随机采样或简单阈值控制，未引入基于节点重要性（如PageRank、度中心性）的自适应采样策略。更智能的稀疏化方法可能在相同压缩比例下取得更小的精度损失。</w:t>
      </w:r>
    </w:p>
    <w:p>
      <w:pPr>
        <w:ind w:firstLine="482"/>
        <w:jc w:val="both"/>
        <w:spacing w:line="440" w:lineRule="exact"/>
      </w:pPr>
      <w:r>
        <w:rPr>
          <w:rFonts w:eastAsia="宋体" w:ascii="Times New Roman" w:hAnsi="Times New Roman"/>
          <w:b w:val="0"/>
          <w:color w:val="000000"/>
          <w:sz w:val="24"/>
        </w:rPr>
        <w:t>（3）硬件评测环境的代表性：本文的推理时延和显存峰值测量在标准GPU服务器环境中进行，未在真实的医疗边缘设备（如ARM Cortex处理器、嵌入式GPU）上进行实际部署测试。边缘端的实际推理性能可能与本文报告结果存在差异。</w:t>
      </w:r>
    </w:p>
    <w:p>
      <w:pPr>
        <w:ind w:firstLine="482"/>
        <w:jc w:val="both"/>
        <w:spacing w:line="440" w:lineRule="exact"/>
      </w:pPr>
      <w:r>
        <w:rPr>
          <w:rFonts w:eastAsia="宋体" w:ascii="Times New Roman" w:hAnsi="Times New Roman"/>
          <w:b w:val="0"/>
          <w:color w:val="000000"/>
          <w:sz w:val="24"/>
        </w:rPr>
        <w:t>（4）可解释性分析的深度：本文主要通过定量消融实验分析图结构学习机制，未深入展开对典型药物对的案例研究和生物医学路径解析，可解释性分析的深度有待加强。</w:t>
      </w:r>
    </w:p>
    <w:p>
      <w:pPr>
        <w:ind w:firstLine="482"/>
        <w:jc w:val="both"/>
        <w:spacing w:line="440" w:lineRule="exact"/>
      </w:pPr>
      <w:r>
        <w:rPr>
          <w:rFonts w:eastAsia="宋体" w:ascii="Times New Roman" w:hAnsi="Times New Roman"/>
          <w:b w:val="0"/>
          <w:color w:val="000000"/>
          <w:sz w:val="24"/>
        </w:rPr>
        <w:t>（5）补全机制的设计局限：当前补全机制在TWOSIDES上的激活比例极低（0.62%~0.79%），说明补全策略对该数据集的适应性不足，未来需要针对不同数据集特性设计更具自适应性的补全阈值策略。</w:t>
      </w:r>
    </w:p>
    <w:p>
      <w:pPr>
        <w:spacing w:before="120" w:after="120"/>
        <w:ind w:firstLine="0"/>
        <w:jc w:val="left"/>
      </w:pPr>
      <w:r>
        <w:rPr>
          <w:rFonts w:eastAsia="黑体" w:ascii="Arial" w:hAnsi="Arial"/>
          <w:b/>
          <w:color w:val="000000"/>
          <w:sz w:val="28"/>
        </w:rPr>
        <w:t>6.3 研究展望</w:t>
      </w:r>
    </w:p>
    <w:p>
      <w:pPr>
        <w:ind w:firstLine="482"/>
        <w:jc w:val="both"/>
        <w:spacing w:line="440" w:lineRule="exact"/>
      </w:pPr>
      <w:r>
        <w:rPr>
          <w:rFonts w:eastAsia="宋体" w:ascii="Times New Roman" w:hAnsi="Times New Roman"/>
          <w:b w:val="0"/>
          <w:color w:val="000000"/>
          <w:sz w:val="24"/>
        </w:rPr>
        <w:t>基于本文的研究成果和局限性分析，对未来研究方向提出以下展望：</w:t>
      </w:r>
    </w:p>
    <w:p>
      <w:pPr>
        <w:ind w:firstLine="482"/>
        <w:jc w:val="both"/>
        <w:spacing w:line="440" w:lineRule="exact"/>
      </w:pPr>
      <w:r>
        <w:rPr>
          <w:rFonts w:eastAsia="宋体" w:ascii="Times New Roman" w:hAnsi="Times New Roman"/>
          <w:b w:val="0"/>
          <w:color w:val="000000"/>
          <w:sz w:val="24"/>
        </w:rPr>
        <w:t>（1）自适应图结构学习策略</w:t>
      </w:r>
    </w:p>
    <w:p>
      <w:pPr>
        <w:ind w:firstLine="482"/>
        <w:jc w:val="both"/>
        <w:spacing w:line="440" w:lineRule="exact"/>
      </w:pPr>
      <w:r>
        <w:rPr>
          <w:rFonts w:eastAsia="宋体" w:ascii="Times New Roman" w:hAnsi="Times New Roman"/>
          <w:b w:val="0"/>
          <w:color w:val="000000"/>
          <w:sz w:val="24"/>
        </w:rPr>
        <w:t>未来可以在当前基于固定阈值的图稀疏化基础上，引入基于图拓扑统计（如节点度分布、聚类系数）的自适应阈值机制，使去噪与补全操作能够根据不同药物对局部子图的特征动态调整激活强度，提升图结构学习机制在不同数据分布下的普适性。</w:t>
      </w:r>
    </w:p>
    <w:p>
      <w:pPr>
        <w:ind w:firstLine="482"/>
        <w:jc w:val="both"/>
        <w:spacing w:line="440" w:lineRule="exact"/>
      </w:pPr>
      <w:r>
        <w:rPr>
          <w:rFonts w:eastAsia="宋体" w:ascii="Times New Roman" w:hAnsi="Times New Roman"/>
          <w:b w:val="0"/>
          <w:color w:val="000000"/>
          <w:sz w:val="24"/>
        </w:rPr>
        <w:t>（2）面向真实边缘设备的模型量化与部署</w:t>
      </w:r>
    </w:p>
    <w:p>
      <w:pPr>
        <w:ind w:firstLine="482"/>
        <w:jc w:val="both"/>
        <w:spacing w:line="440" w:lineRule="exact"/>
      </w:pPr>
      <w:r>
        <w:rPr>
          <w:rFonts w:eastAsia="宋体" w:ascii="Times New Roman" w:hAnsi="Times New Roman"/>
          <w:b w:val="0"/>
          <w:color w:val="000000"/>
          <w:sz w:val="24"/>
        </w:rPr>
        <w:t>在本文轻量化架构的基础上，结合模型量化（INT8/FP16混合精度）、算子融合等推理引擎优化技术，将轻量化KnowDDI模型实际部署到ARM Cortex-M、NVIDIA Jetson等医疗边缘硬件平台上，测量真实设备上的推理延迟和功耗，为面向医疗IoT场景的DDI实时预警系统提供实践基础。</w:t>
      </w:r>
    </w:p>
    <w:p>
      <w:pPr>
        <w:ind w:firstLine="482"/>
        <w:jc w:val="both"/>
        <w:spacing w:line="440" w:lineRule="exact"/>
      </w:pPr>
      <w:r>
        <w:rPr>
          <w:rFonts w:eastAsia="宋体" w:ascii="Times New Roman" w:hAnsi="Times New Roman"/>
          <w:b w:val="0"/>
          <w:color w:val="000000"/>
          <w:sz w:val="24"/>
        </w:rPr>
        <w:t>（3）与大语言模型（LLM）的融合</w:t>
      </w:r>
    </w:p>
    <w:p>
      <w:pPr>
        <w:ind w:firstLine="482"/>
        <w:jc w:val="both"/>
        <w:spacing w:line="440" w:lineRule="exact"/>
      </w:pPr>
      <w:r>
        <w:rPr>
          <w:rFonts w:eastAsia="宋体" w:ascii="Times New Roman" w:hAnsi="Times New Roman"/>
          <w:b w:val="0"/>
          <w:color w:val="000000"/>
          <w:sz w:val="24"/>
        </w:rPr>
        <w:t>近年来，以GPT-4、Med-PaLM为代表的大型预训练语言模型在生物医学领域展现出强大的知识理解和推理能力。将LLM的语义理解能力与本文的图结构学习框架结合，有望构建具有更强背景知识整合能力的DDI预测系统，进一步提升小样本场景下的泛化性能。</w:t>
      </w:r>
    </w:p>
    <w:p>
      <w:pPr>
        <w:ind w:firstLine="482"/>
        <w:jc w:val="both"/>
        <w:spacing w:line="440" w:lineRule="exact"/>
      </w:pPr>
      <w:r>
        <w:rPr>
          <w:rFonts w:eastAsia="宋体" w:ascii="Times New Roman" w:hAnsi="Times New Roman"/>
          <w:b w:val="0"/>
          <w:color w:val="000000"/>
          <w:sz w:val="24"/>
        </w:rPr>
        <w:t>（4）多模态药物表示学习</w:t>
      </w:r>
    </w:p>
    <w:p>
      <w:pPr>
        <w:ind w:firstLine="482"/>
        <w:jc w:val="both"/>
        <w:spacing w:line="440" w:lineRule="exact"/>
      </w:pPr>
      <w:r>
        <w:rPr>
          <w:rFonts w:eastAsia="宋体" w:ascii="Times New Roman" w:hAnsi="Times New Roman"/>
          <w:b w:val="0"/>
          <w:color w:val="000000"/>
          <w:sz w:val="24"/>
        </w:rPr>
        <w:t>当前KnowDDI主要依赖知识图谱的拓扑结构信息作为药物表示。未来可引入药物分子指纹、SMILES字符串、蛋白质序列等多模态特征，构建更丰富的药物表示，结合图结构学习的关系建模能力，有望进一步提升DDI预测的精度和可解释性。</w:t>
      </w:r>
    </w:p>
    <w:p>
      <w:pPr>
        <w:ind w:firstLine="482"/>
        <w:jc w:val="both"/>
        <w:spacing w:line="440" w:lineRule="exact"/>
      </w:pPr>
      <w:r>
        <w:rPr>
          <w:rFonts w:eastAsia="宋体" w:ascii="Times New Roman" w:hAnsi="Times New Roman"/>
          <w:b w:val="0"/>
          <w:color w:val="000000"/>
          <w:sz w:val="24"/>
        </w:rPr>
        <w:t>（5）跨数据集迁移学习</w:t>
      </w:r>
    </w:p>
    <w:p>
      <w:pPr>
        <w:ind w:firstLine="482"/>
        <w:jc w:val="both"/>
        <w:spacing w:line="440" w:lineRule="exact"/>
      </w:pPr>
      <w:r>
        <w:rPr>
          <w:rFonts w:eastAsia="宋体" w:ascii="Times New Roman" w:hAnsi="Times New Roman"/>
          <w:b w:val="0"/>
          <w:color w:val="000000"/>
          <w:sz w:val="24"/>
        </w:rPr>
        <w:t>消融实验揭示了图结构学习机制在DrugBank和TWOSIDES上的适用边界差异。未来可探索基于元学习（Meta-Learning）或领域自适应（Domain Adaptation）的跨数据集迁移策略，使模型能够自适应地在不同DDI数据集特性下调整图结构学习的策略，提升模型的跨场景泛化能力。</w:t>
      </w:r>
    </w:p>
    <w:p>
      <w:r>
        <w:br w:type="page"/>
      </w:r>
    </w:p>
    <w:p>
      <w:pPr>
        <w:spacing w:before="240" w:after="240"/>
        <w:ind w:firstLine="0"/>
        <w:jc w:val="center"/>
      </w:pPr>
      <w:r>
        <w:rPr>
          <w:rFonts w:eastAsia="黑体" w:ascii="Arial" w:hAnsi="Arial"/>
          <w:b/>
          <w:color w:val="000000"/>
          <w:sz w:val="32"/>
        </w:rPr>
        <w:t>参考文献</w:t>
      </w:r>
    </w:p>
    <w:p>
      <w:pPr>
        <w:ind w:firstLine="0"/>
        <w:jc w:val="both"/>
      </w:pPr>
      <w:r>
        <w:rPr>
          <w:rFonts w:eastAsia="宋体" w:ascii="Times New Roman" w:hAnsi="Times New Roman"/>
          <w:b w:val="0"/>
          <w:color w:val="000000"/>
          <w:sz w:val="21"/>
        </w:rPr>
        <w:t>[1] BORDES A, USUNIER N, GARCIA-DURAN A, et al. Translating embeddings for modeling multi-relational data[C]//Advances in Neural Information Processing Systems. 2013: 2787-2795.</w:t>
      </w:r>
    </w:p>
    <w:p>
      <w:pPr>
        <w:ind w:firstLine="0"/>
        <w:jc w:val="both"/>
      </w:pPr>
      <w:r>
        <w:rPr>
          <w:rFonts w:eastAsia="宋体" w:ascii="Times New Roman" w:hAnsi="Times New Roman"/>
          <w:b w:val="0"/>
          <w:color w:val="000000"/>
          <w:sz w:val="21"/>
        </w:rPr>
        <w:t>[2] GROVER A, LESKOVEC J. node2vec: Scalable feature learning for networks[C]//Proceedings of the 22nd ACM SIGKDD International Conference on Knowledge Discovery and Data Mining. 2016: 855-864.</w:t>
      </w:r>
    </w:p>
    <w:p>
      <w:pPr>
        <w:ind w:firstLine="0"/>
        <w:jc w:val="both"/>
      </w:pPr>
      <w:r>
        <w:rPr>
          <w:rFonts w:eastAsia="宋体" w:ascii="Times New Roman" w:hAnsi="Times New Roman"/>
          <w:b w:val="0"/>
          <w:color w:val="000000"/>
          <w:sz w:val="21"/>
        </w:rPr>
        <w:t>[3] ZITNIK M, AGU F, LESKOVEC J. Modeling polypharmacy side effects with graph convolutional networks[J]. Bioinformatics, 2018, 34(13): i457-i466.</w:t>
      </w:r>
    </w:p>
    <w:p>
      <w:pPr>
        <w:ind w:firstLine="0"/>
        <w:jc w:val="both"/>
      </w:pPr>
      <w:r>
        <w:rPr>
          <w:rFonts w:eastAsia="宋体" w:ascii="Times New Roman" w:hAnsi="Times New Roman"/>
          <w:b w:val="0"/>
          <w:color w:val="000000"/>
          <w:sz w:val="21"/>
        </w:rPr>
        <w:t>[4] HUANG K, XIAO C, GLASS L M, et al. SkipGNN: predicting molecular interactions with skip-graph networks[J]. Scientific Reports, 2020, 10(1): 21092.</w:t>
      </w:r>
    </w:p>
    <w:p>
      <w:pPr>
        <w:ind w:firstLine="0"/>
        <w:jc w:val="both"/>
      </w:pPr>
      <w:r>
        <w:rPr>
          <w:rFonts w:eastAsia="宋体" w:ascii="Times New Roman" w:hAnsi="Times New Roman"/>
          <w:b w:val="0"/>
          <w:color w:val="000000"/>
          <w:sz w:val="21"/>
        </w:rPr>
        <w:t>[5] LIN X, QUAN Z, WANG Z J, et al. KGNN: Knowledge graph neural network for drug-drug interaction prediction[C]//Proceedings of the 29th International Joint Conference on Artificial Intelligence. 2020: 2739-2745.</w:t>
      </w:r>
    </w:p>
    <w:p>
      <w:pPr>
        <w:ind w:firstLine="0"/>
        <w:jc w:val="both"/>
      </w:pPr>
      <w:r>
        <w:rPr>
          <w:rFonts w:eastAsia="宋体" w:ascii="Times New Roman" w:hAnsi="Times New Roman"/>
          <w:b w:val="0"/>
          <w:color w:val="000000"/>
          <w:sz w:val="21"/>
        </w:rPr>
        <w:t>[6] YU Y, HUANG K, ZHANG C, et al. SumGNN: multi-typed drug interaction prediction via efficient knowledge graph summarization[J]. Bioinformatics, 2021, 37(18): 2988-2995.</w:t>
      </w:r>
    </w:p>
    <w:p>
      <w:pPr>
        <w:ind w:firstLine="0"/>
        <w:jc w:val="both"/>
      </w:pPr>
      <w:r>
        <w:rPr>
          <w:rFonts w:eastAsia="宋体" w:ascii="Times New Roman" w:hAnsi="Times New Roman"/>
          <w:b w:val="0"/>
          <w:color w:val="000000"/>
          <w:sz w:val="21"/>
        </w:rPr>
        <w:t>[7] WANG Y, YANG Z, YAO Q. Accurate and interpretable drug-drug interaction prediction enabled by knowledge subgraph learning[J]. Communications Medicine, 2024, 4(1): 59.</w:t>
      </w:r>
    </w:p>
    <w:p>
      <w:pPr>
        <w:ind w:firstLine="0"/>
        <w:jc w:val="both"/>
      </w:pPr>
      <w:r>
        <w:rPr>
          <w:rFonts w:eastAsia="宋体" w:ascii="Times New Roman" w:hAnsi="Times New Roman"/>
          <w:b w:val="0"/>
          <w:color w:val="000000"/>
          <w:sz w:val="21"/>
        </w:rPr>
        <w:t>[8] KIPF T N, WELLING M. Semi-supervised classification with graph convolutional networks[C]//International Conference on Learning Representations. 2017.</w:t>
      </w:r>
    </w:p>
    <w:p>
      <w:pPr>
        <w:ind w:firstLine="0"/>
        <w:jc w:val="both"/>
      </w:pPr>
      <w:r>
        <w:rPr>
          <w:rFonts w:eastAsia="宋体" w:ascii="Times New Roman" w:hAnsi="Times New Roman"/>
          <w:b w:val="0"/>
          <w:color w:val="000000"/>
          <w:sz w:val="21"/>
        </w:rPr>
        <w:t>[9] HAMILTON W L, YING R, LESKOVEC J. Inductive representation learning on large graphs[C]//Advances in Neural Information Processing Systems. 2017: 1024-1034.</w:t>
      </w:r>
    </w:p>
    <w:p>
      <w:pPr>
        <w:ind w:firstLine="0"/>
        <w:jc w:val="both"/>
      </w:pPr>
      <w:r>
        <w:rPr>
          <w:rFonts w:eastAsia="宋体" w:ascii="Times New Roman" w:hAnsi="Times New Roman"/>
          <w:b w:val="0"/>
          <w:color w:val="000000"/>
          <w:sz w:val="21"/>
        </w:rPr>
        <w:t>[10] VELIČKOVIĆ P, CUCURULL G, CASANOVA A, et al. Graph attention networks[C]//International Conference on Learning Representations. 2018.</w:t>
      </w:r>
    </w:p>
    <w:p>
      <w:pPr>
        <w:ind w:firstLine="0"/>
        <w:jc w:val="both"/>
      </w:pPr>
      <w:r>
        <w:rPr>
          <w:rFonts w:eastAsia="宋体" w:ascii="Times New Roman" w:hAnsi="Times New Roman"/>
          <w:b w:val="0"/>
          <w:color w:val="000000"/>
          <w:sz w:val="21"/>
        </w:rPr>
        <w:t>[11] WISHART D S, FEUNANG Y D, GUO A C, et al. DrugBank 5.0: a major update to the DrugBank database for 2018[J]. Nucleic Acids Research, 2018, 46(D1): D1074-D1082.</w:t>
      </w:r>
    </w:p>
    <w:p>
      <w:pPr>
        <w:ind w:firstLine="0"/>
        <w:jc w:val="both"/>
      </w:pPr>
      <w:r>
        <w:rPr>
          <w:rFonts w:eastAsia="宋体" w:ascii="Times New Roman" w:hAnsi="Times New Roman"/>
          <w:b w:val="0"/>
          <w:color w:val="000000"/>
          <w:sz w:val="21"/>
        </w:rPr>
        <w:t>[12] TATONETTI N P, YE P P, DANESHJOU R, et al. Data-driven prediction of drug effects and interactions[J]. Science Translational Medicine, 2012, 4(125): 125ra31.</w:t>
      </w:r>
    </w:p>
    <w:p>
      <w:pPr>
        <w:ind w:firstLine="0"/>
        <w:jc w:val="both"/>
      </w:pPr>
      <w:r>
        <w:rPr>
          <w:rFonts w:eastAsia="宋体" w:ascii="Times New Roman" w:hAnsi="Times New Roman"/>
          <w:b w:val="0"/>
          <w:color w:val="000000"/>
          <w:sz w:val="21"/>
        </w:rPr>
        <w:t>[13] ZHANG W, CHEN Y, LIU F, et al. Predicting potential drug-drug interactions by integrating chemical, biological, phenotypic and network data[J]. BMC Bioinformatics, 2017, 18(1): 18.</w:t>
      </w:r>
    </w:p>
    <w:p>
      <w:pPr>
        <w:ind w:firstLine="0"/>
        <w:jc w:val="both"/>
      </w:pPr>
      <w:r>
        <w:rPr>
          <w:rFonts w:eastAsia="宋体" w:ascii="Times New Roman" w:hAnsi="Times New Roman"/>
          <w:b w:val="0"/>
          <w:color w:val="000000"/>
          <w:sz w:val="21"/>
        </w:rPr>
        <w:t>[14] HIMMELSTEIN D S, LIZEE A, HESSLER C, et al. Systematic integration of biomedical knowledge prioritizes drugs for repurposing[J]. eLife, 2017, 6: e26726.</w:t>
      </w:r>
    </w:p>
    <w:p>
      <w:r>
        <w:br w:type="page"/>
      </w:r>
    </w:p>
    <w:p>
      <w:pPr>
        <w:spacing w:before="240" w:after="240"/>
        <w:ind w:firstLine="0"/>
        <w:jc w:val="center"/>
      </w:pPr>
      <w:r>
        <w:rPr>
          <w:rFonts w:eastAsia="黑体" w:ascii="Arial" w:hAnsi="Arial"/>
          <w:b/>
          <w:color w:val="000000"/>
          <w:sz w:val="32"/>
        </w:rPr>
        <w:t>致  谢</w:t>
      </w:r>
    </w:p>
    <w:p>
      <w:pPr>
        <w:ind w:firstLine="482"/>
        <w:jc w:val="both"/>
        <w:spacing w:line="440" w:lineRule="exact"/>
      </w:pPr>
      <w:r>
        <w:rPr>
          <w:rFonts w:eastAsia="宋体" w:ascii="Times New Roman" w:hAnsi="Times New Roman"/>
          <w:b w:val="0"/>
          <w:color w:val="000000"/>
          <w:sz w:val="24"/>
        </w:rPr>
        <w:t>时光荏苒，数年求学生涯在这篇论文的最后一个句号处悄然画上了阶段性的终点。回望来路，心中涌动着难以言说的感慨与感激。</w:t>
      </w:r>
    </w:p>
    <w:p>
      <w:pPr>
        <w:ind w:firstLine="482"/>
        <w:jc w:val="both"/>
        <w:spacing w:line="440" w:lineRule="exact"/>
      </w:pPr>
      <w:r>
        <w:rPr>
          <w:rFonts w:eastAsia="宋体" w:ascii="Times New Roman" w:hAnsi="Times New Roman"/>
          <w:b w:val="0"/>
          <w:color w:val="000000"/>
          <w:sz w:val="24"/>
        </w:rPr>
        <w:t>首先，我要向我的导师致以最诚挚的谢意。从最初懵懂地寻找研究方向，到最终确立以KnowDDI为基础、聚焦图结构学习机制解耦与轻量化部署的研究主题，每一步都离不开老师的悉心引导。老师帮我厘清思路、打磨创新点，在我迷茫时指引方向，在我松懈时给予鞭策。论文的每一次修改，都凝聚着老师的心血与智慧。师恩深重，学生铭记于心。</w:t>
      </w:r>
    </w:p>
    <w:p>
      <w:pPr>
        <w:ind w:firstLine="482"/>
        <w:jc w:val="both"/>
        <w:spacing w:line="440" w:lineRule="exact"/>
      </w:pPr>
      <w:r>
        <w:rPr>
          <w:rFonts w:eastAsia="宋体" w:ascii="Times New Roman" w:hAnsi="Times New Roman"/>
          <w:b w:val="0"/>
          <w:color w:val="000000"/>
          <w:sz w:val="24"/>
        </w:rPr>
        <w:t>其次，我要感谢我的家人。求学的路上，你们从未问过我何时能出人头地，只是默默地在背后托举着我、等待着我。每一通报平安的电话，每一顿回家时热腾腾的饭菜，都是我在深夜对着屏幕继续敲下去的力量。你们是我最坚实的后盾，也是我最温暖的归处。</w:t>
      </w:r>
    </w:p>
    <w:p>
      <w:pPr>
        <w:ind w:firstLine="482"/>
        <w:jc w:val="both"/>
        <w:spacing w:line="440" w:lineRule="exact"/>
      </w:pPr>
      <w:r>
        <w:rPr>
          <w:rFonts w:eastAsia="宋体" w:ascii="Times New Roman" w:hAnsi="Times New Roman"/>
          <w:b w:val="0"/>
          <w:color w:val="000000"/>
          <w:sz w:val="24"/>
        </w:rPr>
        <w:t>最后，我想感谢自己。感谢当初那个在人生岔路口毅然选择转专业的自己——那一份不顾前路未知、只凭热爱而做出的选择，如今已长成了这篇论文，也长成了一个更完整的我。感谢这一路走来不曾放弃的自己，感谢每一个咬牙坚持下去的清晨与深夜。</w:t>
      </w:r>
    </w:p>
    <w:p>
      <w:pPr>
        <w:ind w:firstLine="482"/>
        <w:jc w:val="both"/>
        <w:spacing w:line="440" w:lineRule="exact"/>
      </w:pPr>
      <w:r>
        <w:rPr>
          <w:rFonts w:eastAsia="宋体" w:ascii="Times New Roman" w:hAnsi="Times New Roman"/>
          <w:b w:val="0"/>
          <w:color w:val="000000"/>
          <w:sz w:val="24"/>
        </w:rPr>
        <w:t>我的求学生活即将结束，但我知道，我人生真正的春天，才刚刚开始。</w:t>
      </w:r>
    </w:p>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