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0AF9A"/>
    <w:p w14:paraId="091597B1"/>
    <w:p w14:paraId="6C465544"/>
    <w:p w14:paraId="043F9D6E"/>
    <w:p w14:paraId="057188C2">
      <w:pPr>
        <w:ind w:firstLine="0"/>
        <w:jc w:val="center"/>
      </w:pPr>
      <w:r>
        <w:rPr>
          <w:rFonts w:ascii="Arial" w:hAnsi="Arial" w:eastAsia="黑体"/>
          <w:b/>
          <w:color w:val="000000"/>
          <w:sz w:val="44"/>
        </w:rPr>
        <w:t>山东科技大学</w:t>
      </w:r>
    </w:p>
    <w:p w14:paraId="3C6D5536"/>
    <w:p w14:paraId="6BF4C4C4">
      <w:pPr>
        <w:ind w:firstLine="0"/>
        <w:jc w:val="center"/>
        <w:outlineLvl w:val="0"/>
      </w:pPr>
      <w:r>
        <w:rPr>
          <w:rFonts w:ascii="Arial" w:hAnsi="Arial" w:eastAsia="黑体"/>
          <w:b/>
          <w:color w:val="000000"/>
          <w:sz w:val="44"/>
        </w:rPr>
        <w:t>本科毕业设计（论文）</w:t>
      </w:r>
    </w:p>
    <w:p w14:paraId="1AEAD581"/>
    <w:p w14:paraId="4F4CEE0A"/>
    <w:p w14:paraId="72D1E1DC"/>
    <w:p w14:paraId="74CFAC21">
      <w:pPr>
        <w:ind w:firstLine="0"/>
        <w:jc w:val="center"/>
        <w:outlineLvl w:val="0"/>
      </w:pPr>
      <w:r>
        <w:rPr>
          <w:rFonts w:ascii="Arial" w:hAnsi="Arial" w:eastAsia="黑体"/>
          <w:b/>
          <w:color w:val="000000"/>
          <w:sz w:val="36"/>
        </w:rPr>
        <w:t>基于知识图谱增强的药物相互作用预测研究</w:t>
      </w:r>
    </w:p>
    <w:p w14:paraId="1A046D12"/>
    <w:p w14:paraId="48673C05">
      <w:pPr>
        <w:ind w:firstLine="0"/>
        <w:jc w:val="center"/>
      </w:pPr>
      <w:r>
        <w:rPr>
          <w:rFonts w:ascii="Times New Roman" w:hAnsi="Times New Roman" w:eastAsia="宋体"/>
          <w:b w:val="0"/>
          <w:color w:val="000000"/>
          <w:sz w:val="28"/>
        </w:rPr>
        <w:t>——图结构学习机制解耦与轻量化重构</w:t>
      </w:r>
    </w:p>
    <w:p w14:paraId="4B1D50E7"/>
    <w:p w14:paraId="52CD0DE3"/>
    <w:p w14:paraId="2E0F36C8"/>
    <w:p w14:paraId="790FFBCE"/>
    <w:p w14:paraId="2BDCF15D">
      <w:pPr>
        <w:ind w:firstLine="0"/>
        <w:jc w:val="center"/>
      </w:pPr>
      <w:r>
        <w:rPr>
          <w:rFonts w:ascii="Times New Roman" w:hAnsi="Times New Roman" w:eastAsia="宋体"/>
          <w:b w:val="0"/>
          <w:color w:val="000000"/>
          <w:sz w:val="28"/>
        </w:rPr>
        <w:t>学    院：计算机科学与工程学院</w:t>
      </w:r>
    </w:p>
    <w:p w14:paraId="212A2DE0">
      <w:pPr>
        <w:ind w:firstLine="0"/>
        <w:jc w:val="center"/>
      </w:pPr>
      <w:r>
        <w:rPr>
          <w:rFonts w:ascii="Times New Roman" w:hAnsi="Times New Roman" w:eastAsia="宋体"/>
          <w:b w:val="0"/>
          <w:color w:val="000000"/>
          <w:sz w:val="28"/>
        </w:rPr>
        <w:t>专    业：计算机科学与技术</w:t>
      </w:r>
    </w:p>
    <w:p w14:paraId="39F6FF3D">
      <w:pPr>
        <w:ind w:firstLine="0"/>
        <w:jc w:val="center"/>
      </w:pPr>
      <w:r>
        <w:rPr>
          <w:rFonts w:ascii="Times New Roman" w:hAnsi="Times New Roman" w:eastAsia="宋体"/>
          <w:b w:val="0"/>
          <w:color w:val="000000"/>
          <w:sz w:val="28"/>
        </w:rPr>
        <w:t>班    级：2021级×班</w:t>
      </w:r>
    </w:p>
    <w:p w14:paraId="2B28CF9C">
      <w:pPr>
        <w:ind w:firstLine="0"/>
        <w:jc w:val="center"/>
      </w:pPr>
      <w:r>
        <w:rPr>
          <w:rFonts w:ascii="Times New Roman" w:hAnsi="Times New Roman" w:eastAsia="宋体"/>
          <w:b w:val="0"/>
          <w:color w:val="000000"/>
          <w:sz w:val="28"/>
        </w:rPr>
        <w:t>学生姓名：××××</w:t>
      </w:r>
    </w:p>
    <w:p w14:paraId="2310B282">
      <w:pPr>
        <w:ind w:firstLine="0"/>
        <w:jc w:val="center"/>
      </w:pPr>
      <w:r>
        <w:rPr>
          <w:rFonts w:ascii="Times New Roman" w:hAnsi="Times New Roman" w:eastAsia="宋体"/>
          <w:b w:val="0"/>
          <w:color w:val="000000"/>
          <w:sz w:val="28"/>
        </w:rPr>
        <w:t>学    号：202×××××××</w:t>
      </w:r>
    </w:p>
    <w:p w14:paraId="1A4655A9">
      <w:pPr>
        <w:ind w:firstLine="0"/>
        <w:jc w:val="center"/>
      </w:pPr>
      <w:r>
        <w:rPr>
          <w:rFonts w:ascii="Times New Roman" w:hAnsi="Times New Roman" w:eastAsia="宋体"/>
          <w:b w:val="0"/>
          <w:color w:val="000000"/>
          <w:sz w:val="28"/>
        </w:rPr>
        <w:t>指导教师：××× 副教授</w:t>
      </w:r>
    </w:p>
    <w:p w14:paraId="00B254DA">
      <w:pPr>
        <w:ind w:firstLine="0"/>
        <w:jc w:val="center"/>
      </w:pPr>
      <w:r>
        <w:rPr>
          <w:rFonts w:ascii="Times New Roman" w:hAnsi="Times New Roman" w:eastAsia="宋体"/>
          <w:b w:val="0"/>
          <w:color w:val="000000"/>
          <w:sz w:val="28"/>
        </w:rPr>
        <w:t>完成日期：2025年6月</w:t>
      </w:r>
    </w:p>
    <w:p w14:paraId="0DBCBCE8">
      <w:r>
        <w:br w:type="page"/>
      </w:r>
    </w:p>
    <w:p w14:paraId="70D08D8E">
      <w:pPr>
        <w:spacing w:before="240" w:after="240"/>
        <w:ind w:firstLine="0"/>
        <w:jc w:val="center"/>
        <w:outlineLvl w:val="0"/>
      </w:pPr>
      <w:r>
        <w:rPr>
          <w:rFonts w:ascii="Arial" w:hAnsi="Arial" w:eastAsia="黑体"/>
          <w:b/>
          <w:color w:val="000000"/>
          <w:sz w:val="32"/>
        </w:rPr>
        <w:t>摘  要</w:t>
      </w:r>
    </w:p>
    <w:p w14:paraId="55ABC551">
      <w:pPr>
        <w:spacing w:line="440" w:lineRule="exact"/>
        <w:ind w:firstLine="482"/>
        <w:jc w:val="both"/>
      </w:pPr>
      <w:r>
        <w:rPr>
          <w:rFonts w:ascii="Times New Roman" w:hAnsi="Times New Roman" w:eastAsia="宋体"/>
          <w:b w:val="0"/>
          <w:color w:val="000000"/>
          <w:sz w:val="24"/>
        </w:rPr>
        <w:t>药物-药物相互作用（Drug-Drug Interaction, DDI）的准确预测对临床联合用药安全和新药研发具有重要意义。现有基于图神经网络（GNN）的DDI预测方法虽已引入外部生物医学知识图谱（KG）来弥补已知DDI样本的稀缺性，但图结构学习中的“去噪”与“补全”两类操作对预测性能的独立贡献尚未得到系统性定量分析；与此同时，现有模型参数量大、推理延时高，难以满足医疗边缘端部署的需求。</w:t>
      </w:r>
    </w:p>
    <w:p w14:paraId="4D06AF83">
      <w:pPr>
        <w:spacing w:line="440" w:lineRule="exact"/>
        <w:ind w:firstLine="482"/>
        <w:jc w:val="both"/>
      </w:pPr>
      <w:r>
        <w:rPr>
          <w:rFonts w:ascii="Times New Roman" w:hAnsi="Times New Roman" w:eastAsia="宋体"/>
          <w:b w:val="0"/>
          <w:color w:val="000000"/>
          <w:sz w:val="24"/>
        </w:rPr>
        <w:t>本文以KnowDDI模型为基础实现平台，围绕以下两条主线开展研究：（1）通过设计严格的受控消融实验，构建baseline、仅去噪、仅补全和去噪+补全四组变体，在DrugBank（多分类）与TWOSIDES（多标签）两个基准数据集上对图结构学习中的去噪与补全机制进行定量解耦，揭示两类操作的差异化边际贡献与数据集相关的适用边界；（2）提出“拓扑-参数”协同压缩策略，通过子图稀疏采样与多维特征压缩的联合优化，系统评估不同轻量化方案在精度、推理时延与显存占用之间的折中关系。</w:t>
      </w:r>
    </w:p>
    <w:p w14:paraId="62662860">
      <w:pPr>
        <w:spacing w:line="440" w:lineRule="exact"/>
        <w:ind w:firstLine="482"/>
        <w:jc w:val="both"/>
      </w:pPr>
      <w:r>
        <w:rPr>
          <w:rFonts w:ascii="Times New Roman" w:hAnsi="Times New Roman" w:eastAsia="宋体"/>
          <w:b w:val="0"/>
          <w:color w:val="000000"/>
          <w:sz w:val="24"/>
        </w:rPr>
        <w:t>实验结果表明：在DrugBank数据集上，去噪机制更有利于提升类别均衡意义下的预测性能（Macro-F1），补全机制更有利于增强整体预测一致性（ACC、Cohen's κ）；在TWOSIDES数据集上，原始基线模型表现最优，补全模块激活比例极低（0.62%~0.79%），说明两类机制的适用边界具有显著的数据集依赖性。在轻量化实验中，仅特征压缩方案（50%压缩比）在DrugBank上以仅0.58%的Macro-F1损失实现了约48%的显存节省，是精度损失最小的单维度轻量化策略；协同优化方案相比单一特征压缩的额外资源收益有限，但为极限资源压缩场景提供了更大的压缩空间。</w:t>
      </w:r>
    </w:p>
    <w:p w14:paraId="2AA48175">
      <w:pPr>
        <w:spacing w:before="0" w:after="0"/>
        <w:ind w:firstLine="480"/>
      </w:pPr>
      <w:r>
        <w:rPr>
          <w:rFonts w:ascii="Times New Roman" w:hAnsi="Times New Roman" w:eastAsia="宋体"/>
          <w:b w:val="0"/>
          <w:color w:val="008B00"/>
          <w:sz w:val="24"/>
        </w:rPr>
        <w:t>此外，本文选取Reboxetine-Atomoxetine与Atropine-Scopolamine两个典型药物对，通过分析基线模型在知识子图中保留的高权重边与推理路径，验证了KnowDDI模型基于知识子图学习的可解释预测能力。前者呈现出经由桥接化合物DB01146的清晰双跳推理路径，后者则体现了模型对局部高权重邻域的综合聚合推理。上述案例表明，知识子图不仅是提升预测精度的结构工具，也是模型预测结果的生物医学解释载体。</w:t>
      </w:r>
    </w:p>
    <w:p w14:paraId="2E530732"/>
    <w:p w14:paraId="09EF8677">
      <w:pPr>
        <w:ind w:firstLine="0"/>
      </w:pPr>
      <w:r>
        <w:rPr>
          <w:rFonts w:ascii="Arial" w:hAnsi="Arial" w:eastAsia="黑体"/>
          <w:b/>
          <w:color w:val="000000"/>
          <w:sz w:val="24"/>
        </w:rPr>
        <w:t>关键词：</w:t>
      </w:r>
      <w:r>
        <w:rPr>
          <w:rFonts w:ascii="Times New Roman" w:hAnsi="Times New Roman" w:eastAsia="宋体"/>
          <w:b w:val="0"/>
          <w:color w:val="000000"/>
          <w:sz w:val="24"/>
        </w:rPr>
        <w:t>药物-药物相互作用预测；图神经网络；知识图谱；图结构学习；轻量化模型；消融实验；可解释性</w:t>
      </w:r>
    </w:p>
    <w:p w14:paraId="17BA3C22">
      <w:r>
        <w:br w:type="page"/>
      </w:r>
    </w:p>
    <w:p w14:paraId="4D8D3342">
      <w:pPr>
        <w:spacing w:before="240" w:after="240"/>
        <w:ind w:firstLine="0"/>
        <w:jc w:val="center"/>
        <w:outlineLvl w:val="0"/>
      </w:pPr>
      <w:r>
        <w:rPr>
          <w:rFonts w:ascii="Arial" w:hAnsi="Arial" w:eastAsia="宋体"/>
          <w:b/>
          <w:color w:val="000000"/>
          <w:sz w:val="32"/>
        </w:rPr>
        <w:t>ABSTRACT</w:t>
      </w:r>
    </w:p>
    <w:p w14:paraId="5014315E">
      <w:pPr>
        <w:spacing w:line="440" w:lineRule="exact"/>
        <w:ind w:firstLine="482"/>
        <w:jc w:val="both"/>
      </w:pPr>
      <w:r>
        <w:rPr>
          <w:rFonts w:ascii="Times New Roman" w:hAnsi="Times New Roman" w:eastAsia="宋体"/>
          <w:b w:val="0"/>
          <w:color w:val="000000"/>
          <w:sz w:val="24"/>
        </w:rPr>
        <w:t>Accurate prediction of Drug-Drug Interactions (DDI) is of critical importance for clinical polypharmacy safety and drug discovery. Although existing GNN-based DDI prediction methods have incorporated external biomedical knowledge graphs (KG) to compensate for the scarcity of labeled DDI samples, the independent contributions of graph structure learning operations—namely denoising and completion—to predictive performance have not been systematically quantified. Meanwhile, existing models suffer from large parameter counts and high inference latency, making them difficult to deploy on resource-constrained medical edge devices.</w:t>
      </w:r>
    </w:p>
    <w:p w14:paraId="79915CB0">
      <w:pPr>
        <w:spacing w:line="440" w:lineRule="exact"/>
        <w:ind w:firstLine="482"/>
        <w:jc w:val="both"/>
      </w:pPr>
      <w:r>
        <w:rPr>
          <w:rFonts w:ascii="Times New Roman" w:hAnsi="Times New Roman" w:eastAsia="宋体"/>
          <w:b w:val="0"/>
          <w:color w:val="000000"/>
          <w:sz w:val="24"/>
        </w:rPr>
        <w:t>This thesis uses the KnowDDI model as the implementation platform and conducts research along two main lines: (1) Through rigorous controlled ablation experiments, four model variants—baseline, denoise-only, completion-only, and denoise+completion—are constructed to quantitatively decouple the denoising and completion mechanisms on DrugBank (multi-class) and TWOSIDES (multi-label) benchmark datasets, revealing their differentiated marginal contributions and dataset-dependent applicability boundaries; (2) A 'topology-parameter' co-compression strategy is proposed, and the trade-off among accuracy, inference latency, and GPU memory usage of various lightweight schemes is systematically evaluated.</w:t>
      </w:r>
    </w:p>
    <w:p w14:paraId="512A7B36">
      <w:pPr>
        <w:spacing w:line="440" w:lineRule="exact"/>
        <w:ind w:firstLine="482"/>
        <w:jc w:val="both"/>
      </w:pPr>
      <w:r>
        <w:rPr>
          <w:rFonts w:ascii="Times New Roman" w:hAnsi="Times New Roman" w:eastAsia="宋体"/>
          <w:b w:val="0"/>
          <w:color w:val="000000"/>
          <w:sz w:val="24"/>
        </w:rPr>
        <w:t>Experimental results show that on DrugBank, the denoising mechanism more effectively improves category-balanced prediction performance (Macro-F1), while the completion mechanism more effectively enhances overall prediction consistency (ACC, Cohen's κ). On TWOSIDES, the original baseline achieves the best performance and the completion module activation ratio is extremely low (0.62%–0.79%), indicating that the applicability of the two mechanisms is significantly dataset-dependent. In lightweight experiments, the feature-only compression scheme (50% ratio) achieves approximately 48% memory savings on DrugBank with only 0.58% Macro-F1 loss, making it the best-trade-off single-dimension lightweight strategy.</w:t>
      </w:r>
    </w:p>
    <w:p w14:paraId="042E68BF">
      <w:pPr>
        <w:spacing w:before="0" w:after="0"/>
        <w:ind w:firstLine="480"/>
      </w:pPr>
      <w:r>
        <w:rPr>
          <w:rFonts w:ascii="Times New Roman" w:hAnsi="Times New Roman" w:eastAsia="宋体"/>
          <w:b w:val="0"/>
          <w:color w:val="008B00"/>
          <w:sz w:val="24"/>
        </w:rPr>
        <w:t>Furthermore, two representative drug pairs—Reboxetine-Atomoxetine and Atropine-Scopolamine—are analyzed to demonstrate the interpretability of KnowDDI via knowledge subgraph learning. The former presents a clear two-hop reasoning path through a bridging compound (DB01146), while the latter reflects the model's multi-neighbor aggregation-based reasoning. These case studies validate that the knowledge subgraph serves not only as a structural tool for improving prediction accuracy, but also as a biomedical evidence carrier for interpreting model predictions.</w:t>
      </w:r>
    </w:p>
    <w:p w14:paraId="7390C82E"/>
    <w:p w14:paraId="685669F8">
      <w:pPr>
        <w:ind w:firstLine="0"/>
      </w:pPr>
      <w:r>
        <w:rPr>
          <w:rFonts w:ascii="Arial" w:hAnsi="Arial" w:eastAsia="宋体"/>
          <w:b/>
          <w:color w:val="000000"/>
          <w:sz w:val="24"/>
        </w:rPr>
        <w:t xml:space="preserve">Keywords: </w:t>
      </w:r>
      <w:r>
        <w:rPr>
          <w:rFonts w:ascii="Times New Roman" w:hAnsi="Times New Roman" w:eastAsia="宋体"/>
          <w:b w:val="0"/>
          <w:color w:val="000000"/>
          <w:sz w:val="24"/>
        </w:rPr>
        <w:t>Drug-Drug Interaction Prediction; Graph Neural Network; Knowledge Graph; Graph Structure Learning; Lightweight Model; Ablation Study; Interpretability</w:t>
      </w:r>
    </w:p>
    <w:p w14:paraId="5F472646">
      <w:r>
        <w:br w:type="page"/>
      </w:r>
    </w:p>
    <w:p w14:paraId="423152A1">
      <w:pPr>
        <w:spacing w:before="240" w:after="240"/>
        <w:ind w:firstLine="0"/>
        <w:jc w:val="center"/>
        <w:outlineLvl w:val="0"/>
      </w:pPr>
      <w:r>
        <w:rPr>
          <w:rFonts w:ascii="Arial" w:hAnsi="Arial" w:eastAsia="黑体"/>
          <w:b/>
          <w:color w:val="000000"/>
          <w:sz w:val="32"/>
        </w:rPr>
        <w:t>目  录</w:t>
      </w:r>
    </w:p>
    <w:p w14:paraId="7430E9A9">
      <w:pPr>
        <w:ind w:firstLine="0"/>
        <w:jc w:val="left"/>
        <w:outlineLvl w:val="0"/>
      </w:pPr>
      <w:r>
        <w:rPr>
          <w:rFonts w:ascii="Times New Roman" w:hAnsi="Times New Roman" w:eastAsia="宋体"/>
          <w:b/>
          <w:color w:val="000000"/>
          <w:sz w:val="24"/>
        </w:rPr>
        <w:t>摘要</w:t>
      </w:r>
    </w:p>
    <w:p w14:paraId="2C7C4458">
      <w:pPr>
        <w:ind w:firstLine="0"/>
        <w:jc w:val="left"/>
        <w:outlineLvl w:val="0"/>
      </w:pPr>
      <w:r>
        <w:rPr>
          <w:rFonts w:ascii="Times New Roman" w:hAnsi="Times New Roman" w:eastAsia="宋体"/>
          <w:b/>
          <w:color w:val="000000"/>
          <w:sz w:val="24"/>
        </w:rPr>
        <w:t>ABSTRACT</w:t>
      </w:r>
    </w:p>
    <w:p w14:paraId="0935631E">
      <w:pPr>
        <w:ind w:firstLine="0"/>
        <w:jc w:val="left"/>
        <w:outlineLvl w:val="0"/>
      </w:pPr>
      <w:r>
        <w:rPr>
          <w:rFonts w:ascii="Times New Roman" w:hAnsi="Times New Roman" w:eastAsia="宋体"/>
          <w:b/>
          <w:color w:val="000000"/>
          <w:sz w:val="24"/>
        </w:rPr>
        <w:t>第一章  绪论</w:t>
      </w:r>
    </w:p>
    <w:p w14:paraId="0EF0C0E8">
      <w:pPr>
        <w:ind w:firstLine="0"/>
        <w:jc w:val="left"/>
      </w:pPr>
      <w:r>
        <w:rPr>
          <w:rFonts w:ascii="Times New Roman" w:hAnsi="Times New Roman" w:eastAsia="宋体"/>
          <w:b w:val="0"/>
          <w:color w:val="000000"/>
          <w:sz w:val="24"/>
        </w:rPr>
        <w:t xml:space="preserve">  1.1 研究背景与意义</w:t>
      </w:r>
    </w:p>
    <w:p w14:paraId="714A94E2">
      <w:pPr>
        <w:ind w:firstLine="0"/>
        <w:jc w:val="left"/>
      </w:pPr>
      <w:r>
        <w:rPr>
          <w:rFonts w:ascii="Times New Roman" w:hAnsi="Times New Roman" w:eastAsia="宋体"/>
          <w:b w:val="0"/>
          <w:color w:val="000000"/>
          <w:sz w:val="24"/>
        </w:rPr>
        <w:t xml:space="preserve">  1.2 国内外研究现状</w:t>
      </w:r>
    </w:p>
    <w:p w14:paraId="60852BC4">
      <w:pPr>
        <w:ind w:firstLine="0"/>
        <w:jc w:val="left"/>
      </w:pPr>
      <w:r>
        <w:rPr>
          <w:rFonts w:ascii="Times New Roman" w:hAnsi="Times New Roman" w:eastAsia="宋体"/>
          <w:b w:val="0"/>
          <w:color w:val="000000"/>
          <w:sz w:val="24"/>
        </w:rPr>
        <w:t xml:space="preserve">  1.3 研究内容与创新点</w:t>
      </w:r>
    </w:p>
    <w:p w14:paraId="18C9E9AA">
      <w:pPr>
        <w:ind w:firstLine="0"/>
        <w:jc w:val="left"/>
      </w:pPr>
      <w:r>
        <w:rPr>
          <w:rFonts w:ascii="Times New Roman" w:hAnsi="Times New Roman" w:eastAsia="宋体"/>
          <w:b w:val="0"/>
          <w:color w:val="000000"/>
          <w:sz w:val="24"/>
        </w:rPr>
        <w:t xml:space="preserve">  1.4 论文结构安排</w:t>
      </w:r>
    </w:p>
    <w:p w14:paraId="289CDADE">
      <w:pPr>
        <w:ind w:firstLine="0"/>
        <w:jc w:val="left"/>
        <w:outlineLvl w:val="0"/>
      </w:pPr>
      <w:r>
        <w:rPr>
          <w:rFonts w:ascii="Times New Roman" w:hAnsi="Times New Roman" w:eastAsia="宋体"/>
          <w:b/>
          <w:color w:val="000000"/>
          <w:sz w:val="24"/>
        </w:rPr>
        <w:t>第二章  相关理论与技术基础</w:t>
      </w:r>
    </w:p>
    <w:p w14:paraId="0F9F842B">
      <w:pPr>
        <w:ind w:firstLine="0"/>
        <w:jc w:val="left"/>
      </w:pPr>
      <w:r>
        <w:rPr>
          <w:rFonts w:ascii="Times New Roman" w:hAnsi="Times New Roman" w:eastAsia="宋体"/>
          <w:b w:val="0"/>
          <w:color w:val="000000"/>
          <w:sz w:val="24"/>
        </w:rPr>
        <w:t xml:space="preserve">  2.1 知识图谱与生物医学知识图谱</w:t>
      </w:r>
    </w:p>
    <w:p w14:paraId="54F1D51D">
      <w:pPr>
        <w:ind w:firstLine="0"/>
        <w:jc w:val="left"/>
      </w:pPr>
      <w:r>
        <w:rPr>
          <w:rFonts w:ascii="Times New Roman" w:hAnsi="Times New Roman" w:eastAsia="宋体"/>
          <w:b w:val="0"/>
          <w:color w:val="000000"/>
          <w:sz w:val="24"/>
        </w:rPr>
        <w:t xml:space="preserve">  2.2 图神经网络基础</w:t>
      </w:r>
    </w:p>
    <w:p w14:paraId="04176D33">
      <w:pPr>
        <w:ind w:firstLine="0"/>
        <w:jc w:val="left"/>
      </w:pPr>
      <w:r>
        <w:rPr>
          <w:rFonts w:ascii="Times New Roman" w:hAnsi="Times New Roman" w:eastAsia="宋体"/>
          <w:b w:val="0"/>
          <w:color w:val="000000"/>
          <w:sz w:val="24"/>
        </w:rPr>
        <w:t xml:space="preserve">  2.3 图结构学习</w:t>
      </w:r>
    </w:p>
    <w:p w14:paraId="1FE1FC74">
      <w:pPr>
        <w:ind w:firstLine="0"/>
        <w:jc w:val="left"/>
      </w:pPr>
      <w:r>
        <w:rPr>
          <w:rFonts w:ascii="Times New Roman" w:hAnsi="Times New Roman" w:eastAsia="宋体"/>
          <w:b w:val="0"/>
          <w:color w:val="000000"/>
          <w:sz w:val="24"/>
        </w:rPr>
        <w:t xml:space="preserve">  2.4 小样本学习背景下的DDI预测</w:t>
      </w:r>
    </w:p>
    <w:p w14:paraId="6A85C254">
      <w:pPr>
        <w:ind w:firstLine="0"/>
        <w:jc w:val="left"/>
      </w:pPr>
      <w:r>
        <w:rPr>
          <w:rFonts w:ascii="Times New Roman" w:hAnsi="Times New Roman" w:eastAsia="宋体"/>
          <w:b w:val="0"/>
          <w:color w:val="000000"/>
          <w:sz w:val="24"/>
        </w:rPr>
        <w:t xml:space="preserve">  2.5 模型轻量化技术</w:t>
      </w:r>
    </w:p>
    <w:p w14:paraId="10496850">
      <w:pPr>
        <w:ind w:firstLine="0"/>
        <w:jc w:val="left"/>
        <w:outlineLvl w:val="0"/>
      </w:pPr>
      <w:r>
        <w:rPr>
          <w:color w:val="000000"/>
        </w:rPr>
        <w:t>第四章  面向DDI预测的图结构解耦与轻量化方法设计</w:t>
      </w:r>
    </w:p>
    <w:p w14:paraId="53328510">
      <w:pPr>
        <w:ind w:firstLine="0"/>
        <w:jc w:val="left"/>
      </w:pPr>
      <w:r>
        <w:rPr>
          <w:color w:val="000000"/>
        </w:rPr>
        <w:t>4.1 KnowDDI模型与实验基线</w:t>
      </w:r>
    </w:p>
    <w:p w14:paraId="7BD6F75B">
      <w:pPr>
        <w:ind w:firstLine="0"/>
        <w:jc w:val="left"/>
      </w:pPr>
      <w:r>
        <w:rPr>
          <w:color w:val="000000"/>
        </w:rPr>
        <w:t>4.2 消融实验设计</w:t>
      </w:r>
    </w:p>
    <w:p w14:paraId="4E36E3D0">
      <w:pPr>
        <w:ind w:firstLine="0"/>
        <w:jc w:val="left"/>
      </w:pPr>
      <w:r>
        <w:rPr>
          <w:color w:val="000000"/>
        </w:rPr>
        <w:t>4.3 轻量化方案设计</w:t>
      </w:r>
    </w:p>
    <w:p w14:paraId="1DE5C6AC">
      <w:pPr>
        <w:ind w:firstLine="0"/>
        <w:jc w:val="left"/>
      </w:pPr>
      <w:r>
        <w:rPr>
          <w:color w:val="000000"/>
        </w:rPr>
        <w:t>4.4 本章小结</w:t>
      </w:r>
    </w:p>
    <w:p w14:paraId="4D6083FC">
      <w:pPr>
        <w:ind w:firstLine="0"/>
        <w:jc w:val="left"/>
        <w:outlineLvl w:val="0"/>
      </w:pPr>
      <w:r>
        <w:rPr>
          <w:color w:val="000000"/>
        </w:rPr>
        <w:t>第五章  实验结果及分析</w:t>
      </w:r>
    </w:p>
    <w:p w14:paraId="6A31E105">
      <w:pPr>
        <w:ind w:firstLine="0"/>
        <w:jc w:val="left"/>
      </w:pPr>
      <w:r>
        <w:rPr>
          <w:color w:val="000000"/>
        </w:rPr>
        <w:t>5.1 DrugBank消融实验结果与分析</w:t>
      </w:r>
    </w:p>
    <w:p w14:paraId="225BD668">
      <w:pPr>
        <w:ind w:firstLine="0"/>
        <w:jc w:val="left"/>
      </w:pPr>
      <w:r>
        <w:rPr>
          <w:color w:val="000000"/>
        </w:rPr>
        <w:t>5.2 TWOSIDES消融实验结果与分析</w:t>
      </w:r>
    </w:p>
    <w:p w14:paraId="1E14C410">
      <w:pPr>
        <w:ind w:firstLine="0"/>
        <w:jc w:val="left"/>
      </w:pPr>
      <w:r>
        <w:rPr>
          <w:color w:val="000000"/>
        </w:rPr>
        <w:t>5.3 跨数据集对比与综合分析</w:t>
      </w:r>
    </w:p>
    <w:p w14:paraId="45DB6E96">
      <w:pPr>
        <w:ind w:firstLine="0"/>
        <w:jc w:val="left"/>
      </w:pPr>
      <w:r>
        <w:rPr>
          <w:color w:val="000000"/>
        </w:rPr>
        <w:t>5.4 分级强度实验结果</w:t>
      </w:r>
    </w:p>
    <w:p w14:paraId="45DB6E96">
      <w:pPr>
        <w:ind w:firstLine="0"/>
        <w:jc w:val="left"/>
      </w:pPr>
      <w:r>
        <w:rPr>
          <w:color w:val="000000"/>
        </w:rPr>
        <w:t>5.5 正式轻量化方案评测结果</w:t>
      </w:r>
    </w:p>
    <w:p w14:paraId="45DB6E96">
      <w:pPr>
        <w:ind w:firstLine="0"/>
        <w:jc w:val="left"/>
      </w:pPr>
      <w:r>
        <w:rPr>
          <w:color w:val="000000"/>
        </w:rPr>
        <w:t>5.6 轻量化适用边界与折中关系总结</w:t>
      </w:r>
    </w:p>
    <w:p>
      <w:r>
        <w:rPr>
          <w:rFonts w:ascii="Times New Roman" w:hAnsi="Times New Roman" w:eastAsia="宋体"/>
          <w:b w:val="0"/>
          <w:color w:val="CC9900"/>
          <w:sz w:val="24"/>
        </w:rPr>
        <w:t>5.7 典型药物对预测的轻量化前后对比</w:t>
      </w:r>
    </w:p>
    <w:p w14:paraId="45DB6E96">
      <w:pPr>
        <w:ind w:firstLine="0"/>
        <w:jc w:val="left"/>
      </w:pPr>
      <w:r>
        <w:rPr>
          <w:color w:val="000000"/>
        </w:rPr>
        <w:t>5.8 本章小结</w:t>
      </w:r>
    </w:p>
    <w:p w14:paraId="50693D8B">
      <w:pPr>
        <w:ind w:firstLine="0"/>
        <w:jc w:val="left"/>
        <w:outlineLvl w:val="0"/>
      </w:pPr>
      <w:r>
        <w:rPr>
          <w:rFonts w:ascii="Times New Roman" w:hAnsi="Times New Roman" w:eastAsia="宋体"/>
          <w:b/>
          <w:color w:val="000000"/>
          <w:sz w:val="24"/>
        </w:rPr>
        <w:t>第六章  总结与展望</w:t>
      </w:r>
    </w:p>
    <w:p w14:paraId="591276D0">
      <w:pPr>
        <w:ind w:firstLine="0"/>
        <w:jc w:val="left"/>
      </w:pPr>
      <w:r>
        <w:rPr>
          <w:rFonts w:ascii="Times New Roman" w:hAnsi="Times New Roman" w:eastAsia="宋体"/>
          <w:b w:val="0"/>
          <w:color w:val="000000"/>
          <w:sz w:val="24"/>
        </w:rPr>
        <w:t xml:space="preserve">  6.1 工作总结</w:t>
      </w:r>
    </w:p>
    <w:p w14:paraId="377F8528">
      <w:pPr>
        <w:ind w:firstLine="0"/>
        <w:jc w:val="left"/>
      </w:pPr>
      <w:r>
        <w:rPr>
          <w:rFonts w:ascii="Times New Roman" w:hAnsi="Times New Roman" w:eastAsia="宋体"/>
          <w:b w:val="0"/>
          <w:color w:val="000000"/>
          <w:sz w:val="24"/>
        </w:rPr>
        <w:t xml:space="preserve">  6.2 研究局限性</w:t>
      </w:r>
    </w:p>
    <w:p w14:paraId="0D5E849E">
      <w:pPr>
        <w:ind w:firstLine="0"/>
        <w:jc w:val="left"/>
      </w:pPr>
      <w:r>
        <w:rPr>
          <w:rFonts w:ascii="Times New Roman" w:hAnsi="Times New Roman" w:eastAsia="宋体"/>
          <w:b w:val="0"/>
          <w:color w:val="000000"/>
          <w:sz w:val="24"/>
        </w:rPr>
        <w:t xml:space="preserve">  6.3 研究展望</w:t>
      </w:r>
    </w:p>
    <w:p w14:paraId="11A8A7A9">
      <w:pPr>
        <w:ind w:firstLine="0"/>
        <w:jc w:val="left"/>
        <w:outlineLvl w:val="1"/>
      </w:pPr>
      <w:r>
        <w:rPr>
          <w:rFonts w:ascii="Times New Roman" w:hAnsi="Times New Roman" w:eastAsia="宋体"/>
          <w:b/>
          <w:color w:val="000000"/>
          <w:sz w:val="24"/>
        </w:rPr>
        <w:t>参考文献</w:t>
      </w:r>
    </w:p>
    <w:p w14:paraId="52520370">
      <w:pPr>
        <w:ind w:firstLine="0"/>
        <w:jc w:val="left"/>
      </w:pPr>
      <w:r>
        <w:rPr>
          <w:rFonts w:ascii="Times New Roman" w:hAnsi="Times New Roman" w:eastAsia="宋体"/>
          <w:b/>
          <w:color w:val="000000"/>
          <w:sz w:val="24"/>
        </w:rPr>
        <w:t>致谢</w:t>
      </w:r>
    </w:p>
    <w:p w14:paraId="7E1C36BF">
      <w:r>
        <w:br w:type="page"/>
      </w:r>
    </w:p>
    <w:p w14:paraId="0EF2FF98">
      <w:pPr>
        <w:spacing w:before="240" w:after="240"/>
        <w:ind w:firstLine="0"/>
        <w:jc w:val="center"/>
        <w:outlineLvl w:val="0"/>
      </w:pPr>
      <w:r>
        <w:rPr>
          <w:rFonts w:ascii="Arial" w:hAnsi="Arial" w:eastAsia="黑体"/>
          <w:b/>
          <w:color w:val="000000"/>
          <w:sz w:val="32"/>
        </w:rPr>
        <w:t>第一章  绪论</w:t>
      </w:r>
    </w:p>
    <w:p w14:paraId="1AF81849">
      <w:pPr>
        <w:spacing w:before="120" w:after="120"/>
        <w:ind w:firstLine="0"/>
        <w:jc w:val="left"/>
        <w:outlineLvl w:val="1"/>
      </w:pPr>
      <w:r>
        <w:rPr>
          <w:rFonts w:ascii="Arial" w:hAnsi="Arial" w:eastAsia="黑体"/>
          <w:b/>
          <w:color w:val="000000"/>
          <w:sz w:val="28"/>
        </w:rPr>
        <w:t>1.1 研究背景与意义</w:t>
      </w:r>
    </w:p>
    <w:p w14:paraId="600B280A">
      <w:pPr>
        <w:spacing w:line="440" w:lineRule="exact"/>
        <w:ind w:firstLine="482"/>
        <w:jc w:val="both"/>
      </w:pPr>
      <w:r>
        <w:rPr>
          <w:rFonts w:ascii="Times New Roman" w:hAnsi="Times New Roman" w:eastAsia="宋体"/>
          <w:b w:val="0"/>
          <w:color w:val="000000"/>
          <w:sz w:val="24"/>
        </w:rPr>
        <w:t>药物-药物相互作用（Drug-Drug Interaction, DDI）是临床治疗与药物研发中的关键问题。一方面，合理的联合用药（如治疗HIV、COVID-19的组合疗法）能有效治疗复杂疾病；另一方面，未知的DDI是导致药物不良反应的主要原因之一，严重威胁患者生命安全。传统基于实验室研究的DDI发现方法成本高昂、周期漫长，难以应对海量新药研发和临床用药安全的需求</w:t>
      </w:r>
      <w:r>
        <w:rPr>
          <w:rFonts w:ascii="Times New Roman" w:hAnsi="Times New Roman" w:eastAsia="宋体"/>
          <w:b w:val="0"/>
          <w:color w:val="000000"/>
          <w:sz w:val="24"/>
        </w:rPr>
      </w:r>
      <w:r>
        <w:rPr>
          <w:rFonts w:ascii="Times New Roman" w:hAnsi="Times New Roman" w:eastAsia="宋体"/>
          <w:b w:val="0"/>
          <w:color w:val="000000"/>
          <w:sz w:val="24"/>
        </w:rPr>
        <w:t>。</w:t>
      </w:r>
    </w:p>
    <w:p w14:paraId="34A2DDB9">
      <w:pPr>
        <w:spacing w:line="440" w:lineRule="exact"/>
        <w:ind w:firstLine="482"/>
        <w:jc w:val="both"/>
      </w:pPr>
      <w:r>
        <w:rPr>
          <w:rFonts w:ascii="Times New Roman" w:hAnsi="Times New Roman" w:eastAsia="宋体"/>
          <w:b w:val="0"/>
          <w:color w:val="000000"/>
          <w:sz w:val="24"/>
        </w:rPr>
        <w:t>近年来，基于深度学习，尤其是图神经网络（Graph Neural Network, GNN）的计算方法为高效预测DDI提供了新思路。然而，已知的DDI事实三元组数量极少（如DrugBank数据库中不足潜在DDI总数的1%），使得参数过多的深度学习模型容易过拟合，甚至表现不如传统的两阶段嵌入方法。与此同时，生物医学领域积累了丰富的、结构化的先验知识，并被整合为大规模生物医学知识图谱（Knowledge Graph, KG），如Hetionet、PharmKG等。如何有效利用这些外部KG来补偿DDI样本的稀缺性，并提升预测模型的可解释性，成为当前研究的核心挑战。</w:t>
      </w:r>
    </w:p>
    <w:p w14:paraId="1CF56065">
      <w:pPr>
        <w:spacing w:line="440" w:lineRule="exact"/>
        <w:ind w:firstLine="482"/>
        <w:jc w:val="both"/>
      </w:pPr>
      <w:r>
        <w:rPr>
          <w:rFonts w:ascii="Times New Roman" w:hAnsi="Times New Roman" w:eastAsia="宋体"/>
          <w:b w:val="0"/>
          <w:color w:val="000000"/>
          <w:sz w:val="24"/>
        </w:rPr>
        <w:t>本课题以现有KG增强DDI预测方法在"机制透明度"与"工程实用性"两方面存在的不足为切入点，针对性地设计研究内容与改进方案。具体不足及对应工作如下：</w:t>
      </w:r>
    </w:p>
    <w:p w14:paraId="37CE878B">
      <w:pPr>
        <w:spacing w:line="440" w:lineRule="exact"/>
        <w:ind w:firstLine="482"/>
        <w:jc w:val="both"/>
      </w:pPr>
      <w:r>
        <w:rPr>
          <w:rFonts w:ascii="Times New Roman" w:hAnsi="Times New Roman" w:eastAsia="宋体"/>
          <w:b w:val="0"/>
          <w:color w:val="008B00"/>
          <w:sz w:val="24"/>
        </w:rPr>
        <w:t>（1）针对"图结构学习中去噪与补全功能耦合不可分"的不足。在KnowDDI等代表性方法中，"动态去除噪声边"与"动态补全潜在边"这两类操作被封装在同一个图结构学习模块内联合训练，二者对最终预测结果的独立贡献无法从原始指标中直接读出，也缺乏在多类别（DrugBank）与多标签（TWOSIDES）任务下的对比分析。针对该问题，本文设计严格受控的消融实验，将原模块拆分为baseline（仅使用原始KG）、仅去噪、仅补全、去噪+补全四组变体，在统一训练协议下定量对比Macro-F1、ACC、Cohen's κ等指标，从而对去噪与补全机制进行解耦量化，初步分析两类操作在不同任务设定下的边际贡献差异。</w:t>
      </w:r>
    </w:p>
    <w:p w14:paraId="566448A3">
      <w:pPr>
        <w:spacing w:line="440" w:lineRule="exact"/>
        <w:ind w:firstLine="482"/>
        <w:jc w:val="both"/>
      </w:pPr>
      <w:r>
        <w:rPr>
          <w:rFonts w:ascii="Times New Roman" w:hAnsi="Times New Roman" w:eastAsia="宋体"/>
          <w:b w:val="0"/>
          <w:color w:val="008B00"/>
          <w:sz w:val="24"/>
        </w:rPr>
        <w:t>（2）针对"模型参数量与子图规模冗余、推理资源开销偏高"的不足。现有KG增强DDI模型为追求精度普遍采用较深的GNN层数、较高的隐层维度以及稠密的子图采样策略，在常见硬件条件下存在推理时延与显存占用偏高的问题，但已有工作较少系统讨论"拓扑维度"与"参数维度"压缩的相对收益。针对该问题，本文在保持原模型整体框架不变的前提下，从子图稀疏采样（每跳保留节点数、候选边数）与特征/层数压缩（隐层维度、迭代深度）两个维度构造分级强度变体，并完整实现了轻量化版本的训练与推理流程；在统一评测条件下，所提变体在DrugBank与TWOSIDES上均实现了推理时延与显存峰值的显著下降，同时将精度损失控制在可接受范围内，最终给出兼顾精度与资源占用的推荐配置。</w:t>
      </w:r>
    </w:p>
    <w:p w14:paraId="11F518A3">
      <w:pPr>
        <w:spacing w:line="440" w:lineRule="exact"/>
        <w:ind w:firstLine="482"/>
        <w:jc w:val="both"/>
      </w:pPr>
      <w:r>
        <w:rPr>
          <w:rFonts w:ascii="Times New Roman" w:hAnsi="Times New Roman" w:eastAsia="宋体"/>
          <w:b w:val="0"/>
          <w:color w:val="008B00"/>
          <w:sz w:val="24"/>
        </w:rPr>
        <w:t>本研究的意义可概括为以下三点。其一，明确任务边界：本文在DrugBank上预测药物对所属的86类DDI关系（多分类），在TWOSIDES上预测药物对涉及的200类DDI关系标签（多标签），预测对象是知识图谱中药物对之间的关系类型，而非直接判定临床不良反应。准确的关系类型预测可为联合用药审查与高风险药物对的优先排序提供候选线索。其二，降低筛选成本：相比体外/体内实验，模型可在大规模药物对空间中快速给出候选结果，缩小后续实验验证范围。其三，方法层面参考价值：通过对图结构学习中去噪与补全机制的定量解耦，以及在子图拓扑与模型参数两个维度上的轻量化分析，可为后续KG增强GNN的模块贡献评估与压缩方案选型提供参考。</w:t>
      </w:r>
    </w:p>
    <w:p w14:paraId="082BE712">
      <w:pPr>
        <w:spacing w:before="120" w:after="120"/>
        <w:ind w:firstLine="0"/>
        <w:jc w:val="left"/>
        <w:outlineLvl w:val="1"/>
      </w:pPr>
      <w:r>
        <w:rPr>
          <w:rFonts w:ascii="Arial" w:hAnsi="Arial" w:eastAsia="黑体"/>
          <w:b/>
          <w:color w:val="000000"/>
          <w:sz w:val="28"/>
        </w:rPr>
        <w:t>1.2 国内外研究现状</w:t>
      </w:r>
    </w:p>
    <w:p w14:paraId="200464C2">
      <w:pPr>
        <w:spacing w:before="120" w:after="120"/>
        <w:ind w:firstLine="0"/>
        <w:jc w:val="left"/>
        <w:outlineLvl w:val="2"/>
      </w:pPr>
      <w:r>
        <w:rPr>
          <w:rFonts w:ascii="Arial" w:hAnsi="Arial" w:eastAsia="黑体"/>
          <w:b/>
          <w:color w:val="000000"/>
          <w:sz w:val="28"/>
        </w:rPr>
        <w:t>1.2.1 DDI预测方法概述</w:t>
      </w:r>
    </w:p>
    <w:p w14:paraId="0E0361E5">
      <w:pPr>
        <w:spacing w:line="440" w:lineRule="exact"/>
        <w:ind w:firstLine="482"/>
        <w:jc w:val="both"/>
      </w:pPr>
      <w:r>
        <w:rPr>
          <w:rFonts w:ascii="Times New Roman" w:hAnsi="Times New Roman" w:eastAsia="宋体"/>
          <w:b w:val="0"/>
          <w:color w:val="000000"/>
          <w:sz w:val="24"/>
        </w:rPr>
        <w:t>DDI预测方法的发展大体经历了由浅层嵌入到端到端图神经网络、再到引入外部知识图谱的演进过程，本节按此脉络梳理代表性工作。</w:t>
      </w:r>
    </w:p>
    <w:p w14:paraId="0E0361E5">
      <w:pPr>
        <w:pStyle w:val="136"/>
        <w:spacing w:line="440" w:lineRule="exact"/>
        <w:ind w:firstLine="482"/>
        <w:jc w:val="both"/>
      </w:pPr>
      <w:r>
        <w:rPr>
          <w:color w:val="FF0000"/>
        </w:rPr>
        <w:t>近三年的研究其实把重点放在预训练表示与子图推理的结合上，例如在小样本和长尾关系类别下，模型会先学习更稳定的结构语义，再进行关系判别，这使整体鲁棒性比传统两阶段方法更好[1]。</w:t>
      </w:r>
    </w:p>
    <w:p w14:paraId="6A552402">
      <w:pPr>
        <w:spacing w:line="440" w:lineRule="exact"/>
        <w:ind w:firstLine="482"/>
        <w:jc w:val="both"/>
      </w:pPr>
      <w:r>
        <w:rPr>
          <w:rFonts w:ascii="Times New Roman" w:hAnsi="Times New Roman" w:eastAsia="宋体"/>
          <w:b w:val="0"/>
          <w:color w:val="000000"/>
          <w:sz w:val="24"/>
        </w:rPr>
        <w:t>早期研究普遍将DDI视为知识图谱中的链路预测问题，采用先学习节点表示再训练分类器的两阶段范式。Bordes等人</w:t>
      </w:r>
      <w:r>
        <w:rPr>
          <w:rFonts w:ascii="Times New Roman" w:hAnsi="Times New Roman" w:eastAsia="宋体"/>
          <w:b w:val="0"/>
          <w:color w:val="FF0000"/>
          <w:sz w:val="24"/>
        </w:rPr>
        <w:t>[2]</w:t>
      </w:r>
      <w:r>
        <w:rPr>
          <w:rFonts w:ascii="Times New Roman" w:hAnsi="Times New Roman" w:eastAsia="宋体"/>
          <w:b w:val="0"/>
          <w:color w:val="000000"/>
          <w:sz w:val="24"/>
        </w:rPr>
        <w:t>提出的TransE通过翻译式打分函数学习实体与关系的低维嵌入，Grover等人</w:t>
      </w:r>
      <w:r>
        <w:rPr>
          <w:rFonts w:ascii="Times New Roman" w:hAnsi="Times New Roman" w:eastAsia="宋体"/>
          <w:b w:val="0"/>
          <w:color w:val="FF0000"/>
          <w:sz w:val="24"/>
        </w:rPr>
        <w:t>[3]</w:t>
      </w:r>
      <w:r>
        <w:rPr>
          <w:rFonts w:ascii="Times New Roman" w:hAnsi="Times New Roman" w:eastAsia="宋体"/>
          <w:b w:val="0"/>
          <w:color w:val="000000"/>
          <w:sz w:val="24"/>
        </w:rPr>
        <w:t>提出的node2vec通过偏置随机游走捕获网络的局部与全局结构。该类方法实现简单、训练代价低，但表示学习与下游预测相互解耦，难以刻画药物之间的非线性交互，对细粒度DDI类型的区分能力有限。</w:t>
      </w:r>
    </w:p>
    <w:p w14:paraId="2D1CAE6F">
      <w:pPr>
        <w:spacing w:line="440" w:lineRule="exact"/>
        <w:ind w:firstLine="482"/>
        <w:jc w:val="both"/>
      </w:pPr>
      <w:r>
        <w:rPr>
          <w:rFonts w:ascii="Times New Roman" w:hAnsi="Times New Roman" w:eastAsia="宋体"/>
          <w:b w:val="0"/>
          <w:color w:val="000000"/>
          <w:sz w:val="24"/>
        </w:rPr>
        <w:t>为突破上述表达能力瓶颈，图神经网络被引入DDI建模。Zitnik等人</w:t>
      </w:r>
      <w:r>
        <w:rPr>
          <w:rFonts w:ascii="Times New Roman" w:hAnsi="Times New Roman" w:eastAsia="宋体"/>
          <w:b w:val="0"/>
          <w:color w:val="FF0000"/>
          <w:sz w:val="24"/>
        </w:rPr>
        <w:t>[4]</w:t>
      </w:r>
      <w:r>
        <w:rPr>
          <w:rFonts w:ascii="Times New Roman" w:hAnsi="Times New Roman" w:eastAsia="宋体"/>
          <w:b w:val="0"/>
          <w:color w:val="000000"/>
          <w:sz w:val="24"/>
        </w:rPr>
        <w:t>提出的Decagon在多关系图上构建图卷积网络，对多类型DDI进行联合建模；Huang等人</w:t>
      </w:r>
      <w:r>
        <w:rPr>
          <w:rFonts w:ascii="Times New Roman" w:hAnsi="Times New Roman" w:eastAsia="宋体"/>
          <w:b w:val="0"/>
          <w:color w:val="FF0000"/>
          <w:sz w:val="24"/>
        </w:rPr>
        <w:t>[5]</w:t>
      </w:r>
      <w:r>
        <w:rPr>
          <w:rFonts w:ascii="Times New Roman" w:hAnsi="Times New Roman" w:eastAsia="宋体"/>
          <w:b w:val="0"/>
          <w:color w:val="000000"/>
          <w:sz w:val="24"/>
        </w:rPr>
        <w:t>提出的SkipGNN通过跳跃连接在不增加层数的条件下扩展感受野。该类方法将表示学习与预测任务整合于统一的端到端框架，整体性能优于两阶段方法，但其对已知DDI样本依赖较强，在DrugBank等已知三元组占比不足1%的稀疏场景下易出现过拟合，对长尾关系类别的泛化能力较弱。</w:t>
      </w:r>
    </w:p>
    <w:p w14:paraId="2D1CAE6F">
      <w:pPr>
        <w:pStyle w:val="136"/>
        <w:spacing w:line="440" w:lineRule="exact"/>
        <w:ind w:firstLine="482"/>
        <w:jc w:val="both"/>
      </w:pPr>
      <w:r>
        <w:rPr>
          <w:color w:val="FF0000"/>
        </w:rPr>
        <w:t>还有一些工作在异构图中引入对比学习和关系语义约束，使不同关系类型在消息传递时分得更清楚，特别是多关系同时存在的场景，误判率会明显下降[6]。</w:t>
      </w:r>
    </w:p>
    <w:p w14:paraId="273CE7BF">
      <w:pPr>
        <w:spacing w:line="440" w:lineRule="exact"/>
        <w:ind w:firstLine="482"/>
        <w:jc w:val="both"/>
      </w:pPr>
      <w:r>
        <w:rPr>
          <w:rFonts w:ascii="Times New Roman" w:hAnsi="Times New Roman" w:eastAsia="宋体"/>
          <w:b w:val="0"/>
          <w:color w:val="000000"/>
          <w:sz w:val="24"/>
        </w:rPr>
        <w:t>为补偿DDI样本的稀缺性，近期工作开始引入外部生物医学知识图谱作为先验。Lin等人</w:t>
      </w:r>
      <w:r>
        <w:rPr>
          <w:rFonts w:ascii="Times New Roman" w:hAnsi="Times New Roman" w:eastAsia="宋体"/>
          <w:b w:val="0"/>
          <w:color w:val="FF0000"/>
          <w:sz w:val="24"/>
        </w:rPr>
        <w:t>[7]</w:t>
      </w:r>
      <w:r>
        <w:rPr>
          <w:rFonts w:ascii="Times New Roman" w:hAnsi="Times New Roman" w:eastAsia="宋体"/>
          <w:b w:val="0"/>
          <w:color w:val="000000"/>
          <w:sz w:val="24"/>
        </w:rPr>
        <w:t>提出的KGNN以药物为中心在KG上进行邻域聚合，将KG上下文编码进药物表示；Yu等人</w:t>
      </w:r>
      <w:r>
        <w:rPr>
          <w:rFonts w:ascii="Times New Roman" w:hAnsi="Times New Roman" w:eastAsia="宋体"/>
          <w:b w:val="0"/>
          <w:color w:val="FF0000"/>
          <w:sz w:val="24"/>
        </w:rPr>
        <w:t>[8]</w:t>
      </w:r>
      <w:r>
        <w:rPr>
          <w:rFonts w:ascii="Times New Roman" w:hAnsi="Times New Roman" w:eastAsia="宋体"/>
          <w:b w:val="0"/>
          <w:color w:val="000000"/>
          <w:sz w:val="24"/>
        </w:rPr>
        <w:t>提出的SumGNN将局部子图提取与图注意力相结合，实现对子图信息的加权汇聚；本课题关注的KnowDDI</w:t>
      </w:r>
      <w:r>
        <w:rPr>
          <w:rFonts w:ascii="Times New Roman" w:hAnsi="Times New Roman" w:eastAsia="宋体"/>
          <w:b w:val="0"/>
          <w:color w:val="FF0000"/>
          <w:sz w:val="24"/>
        </w:rPr>
        <w:t>[9]</w:t>
      </w:r>
      <w:r>
        <w:rPr>
          <w:rFonts w:ascii="Times New Roman" w:hAnsi="Times New Roman" w:eastAsia="宋体"/>
          <w:b w:val="0"/>
          <w:color w:val="000000"/>
          <w:sz w:val="24"/>
        </w:rPr>
        <w:t>在此基础上进一步引入图结构学习机制，针对KG中的噪声边与缺失边问题，在子图上同时执行边的动态删除与潜在边的动态补全。该类方法可有效利用KG的多跳路径信息，在小样本场景下显著提升预测精度并具备一定的可解释性，但普遍依赖较深的GNN层级、较高的隐层维度与较稠密的子图采样，参数量与推理开销显著高于前两类方法。</w:t>
      </w:r>
    </w:p>
    <w:p w14:paraId="273CE7BF">
      <w:pPr>
        <w:pStyle w:val="136"/>
        <w:spacing w:line="440" w:lineRule="exact"/>
        <w:ind w:firstLine="482"/>
        <w:jc w:val="both"/>
      </w:pPr>
      <w:r>
        <w:rPr>
          <w:color w:val="FF0000"/>
        </w:rPr>
        <w:t>例如在知识自适应方向，研究者通过对比学习对药物对的知识图谱表征做正负样本约束，使模型在面对长尾关系类型时仍然保持稳定的预测性能[10]。</w:t>
      </w:r>
    </w:p>
    <w:p w14:paraId="4ABF5759">
      <w:pPr>
        <w:spacing w:before="120" w:after="120"/>
        <w:ind w:firstLine="0"/>
        <w:jc w:val="left"/>
        <w:outlineLvl w:val="2"/>
      </w:pPr>
      <w:r>
        <w:rPr>
          <w:rFonts w:ascii="Arial" w:hAnsi="Arial" w:eastAsia="黑体"/>
          <w:b/>
          <w:color w:val="000000"/>
          <w:sz w:val="28"/>
        </w:rPr>
        <w:t>1.2.2 现有研究的不足</w:t>
      </w:r>
    </w:p>
    <w:p w14:paraId="3E11962D">
      <w:pPr>
        <w:spacing w:line="440" w:lineRule="exact"/>
        <w:ind w:firstLine="482"/>
        <w:jc w:val="both"/>
      </w:pPr>
      <w:r>
        <w:rPr>
          <w:rFonts w:ascii="Times New Roman" w:hAnsi="Times New Roman" w:eastAsia="宋体"/>
          <w:b w:val="0"/>
          <w:color w:val="000000"/>
          <w:sz w:val="24"/>
        </w:rPr>
        <w:t>尽管KG增强类方法已成为当前DDI预测的主流路线，但仍存在两点尚未被充分讨论的问题。其一，在以KnowDDI为代表的图结构学习方案中，"去噪"（动态删除可疑边）与"补全"（动态添加潜在边）通常被封装于同一模块进行联合优化，二者对最终预测性能的独立贡献无法从原始指标中直接读出，也缺乏在多分类任务（DrugBank）与多标签任务（TWOSIDES）下的对比分析，机制层面的可解释性受到限制。其二，该类模型为追求精度普遍采用较深的GNN层数、较高的特征维度以及稠密的子图采样策略，推理时延与显存占用在常见硬件条件下偏高，而已有工作较少从子图拓扑与模型参数两个维度对压缩方案的代价收益进行系统比较。本文的研究内容即围绕上述两点不足展开。</w:t>
      </w:r>
    </w:p>
    <w:p w14:paraId="279B34D4">
      <w:pPr>
        <w:spacing w:before="120" w:after="120"/>
        <w:ind w:firstLine="0"/>
        <w:jc w:val="left"/>
        <w:outlineLvl w:val="1"/>
      </w:pPr>
      <w:r>
        <w:rPr>
          <w:rFonts w:ascii="Arial" w:hAnsi="Arial" w:eastAsia="黑体"/>
          <w:b/>
          <w:color w:val="000000"/>
          <w:sz w:val="28"/>
        </w:rPr>
        <w:t>1.3 研究内容与创新点</w:t>
      </w:r>
    </w:p>
    <w:p w14:paraId="0094A760">
      <w:pPr>
        <w:spacing w:before="120" w:after="120"/>
        <w:ind w:firstLine="0"/>
        <w:jc w:val="left"/>
        <w:outlineLvl w:val="2"/>
      </w:pPr>
      <w:r>
        <w:rPr>
          <w:rFonts w:ascii="Arial" w:hAnsi="Arial" w:eastAsia="黑体"/>
          <w:b/>
          <w:color w:val="000000"/>
          <w:sz w:val="28"/>
        </w:rPr>
        <w:t>1.3.1 主要研究内容</w:t>
      </w:r>
    </w:p>
    <w:p w14:paraId="41E7F0AD">
      <w:pPr>
        <w:spacing w:line="440" w:lineRule="exact"/>
        <w:ind w:firstLine="482"/>
        <w:jc w:val="both"/>
      </w:pPr>
      <w:r>
        <w:rPr>
          <w:rFonts w:ascii="Times New Roman" w:hAnsi="Times New Roman" w:eastAsia="宋体"/>
          <w:b w:val="0"/>
          <w:color w:val="008B00"/>
          <w:sz w:val="24"/>
        </w:rPr>
        <w:t>围绕1.2.2节指出的两点不足，本文以KnowDDI为基线模型，开展两条主线工作：一是对图结构学习模块中"去噪"与"补全"两类操作进行功能解耦与定量评估；二是在不改变原模型整体框架的前提下，从子图拓扑与网络参数两个维度对模型进行压缩并系统评测精度-资源折中关系。基线复现与综合分析作为支撑性工作贯穿其中。具体研究内容如下：</w:t>
      </w:r>
    </w:p>
    <w:p w14:paraId="3EDC2EB3">
      <w:pPr>
        <w:spacing w:line="440" w:lineRule="exact"/>
        <w:ind w:firstLine="482"/>
        <w:jc w:val="both"/>
        <w:outlineLvl w:val="3"/>
      </w:pPr>
      <w:r>
        <w:rPr>
          <w:rFonts w:ascii="Times New Roman" w:hAnsi="Times New Roman" w:eastAsia="宋体"/>
          <w:b w:val="0"/>
          <w:color w:val="008B00"/>
          <w:sz w:val="24"/>
        </w:rPr>
        <w:t>（1）KnowDDI基线复现与统一评测协议构建</w:t>
      </w:r>
    </w:p>
    <w:p w14:paraId="6F82DFCD">
      <w:pPr>
        <w:spacing w:line="440" w:lineRule="exact"/>
        <w:ind w:firstLine="482"/>
        <w:jc w:val="both"/>
      </w:pPr>
      <w:r>
        <w:rPr>
          <w:rFonts w:ascii="Times New Roman" w:hAnsi="Times New Roman" w:eastAsia="宋体"/>
          <w:b w:val="0"/>
          <w:color w:val="008B00"/>
          <w:sz w:val="24"/>
        </w:rPr>
        <w:t>在本地环境下复现KnowDDI在DrugBank（多分类，86类）与TWOSIDES（多标签，200类）上的训练与推理流程，固定数据划分、随机种子、训练轮次与评测指标（Macro-F1、ACC、Cohen's κ及AUROC、AUPRC、AP@50），形成后续两条主线实验共享的统一评测协议。该部分作为支撑性工作，为后续受控变体的指标可比性提供基准。</w:t>
      </w:r>
    </w:p>
    <w:p w14:paraId="78D3AC98">
      <w:pPr>
        <w:spacing w:line="440" w:lineRule="exact"/>
        <w:ind w:firstLine="482"/>
        <w:jc w:val="both"/>
      </w:pPr>
      <w:r>
        <w:rPr>
          <w:rFonts w:ascii="Times New Roman" w:hAnsi="Times New Roman" w:eastAsia="宋体"/>
          <w:b w:val="0"/>
          <w:color w:val="008B00"/>
          <w:sz w:val="24"/>
        </w:rPr>
        <w:t>（2）图结构学习中"去噪"与"补全"功能的定量解耦（核心工作之一）</w:t>
      </w:r>
    </w:p>
    <w:p w14:paraId="7745FA18">
      <w:pPr>
        <w:spacing w:line="440" w:lineRule="exact"/>
        <w:ind w:firstLine="482"/>
        <w:jc w:val="both"/>
      </w:pPr>
      <w:r>
        <w:rPr>
          <w:rFonts w:ascii="Times New Roman" w:hAnsi="Times New Roman" w:eastAsia="宋体"/>
          <w:b w:val="0"/>
          <w:color w:val="008B00"/>
          <w:sz w:val="24"/>
        </w:rPr>
        <w:t>针对原模型中两类操作被打包训练、贡献无法分离的问题，本文在不改动主干网络的条件下，通过开关原模块中的边删除分支与边补全分支，构建baseline（仅原始KG子图）、仅去噪、仅补全、去噪+补全四组受控变体，并保持其余超参数完全一致。在DrugBank与TWOSIDES上分别完成训练与评测，对四组变体的核心指标进行配对比较，分析去噪与补全在多分类与多标签任务中的边际贡献差异及适用倾向，给出可观测层面的解耦结论。</w:t>
      </w:r>
    </w:p>
    <w:p w14:paraId="2D29C447">
      <w:pPr>
        <w:spacing w:line="440" w:lineRule="exact"/>
        <w:ind w:firstLine="482"/>
        <w:jc w:val="both"/>
      </w:pPr>
      <w:r>
        <w:rPr>
          <w:rFonts w:ascii="Times New Roman" w:hAnsi="Times New Roman" w:eastAsia="宋体"/>
          <w:b w:val="0"/>
          <w:color w:val="008B00"/>
          <w:sz w:val="24"/>
        </w:rPr>
        <w:t>（3）子图拓扑与网络参数双维度的轻量化模型实现与评测（核心工作之二）</w:t>
      </w:r>
    </w:p>
    <w:p w14:paraId="1FADF3D6">
      <w:pPr>
        <w:spacing w:line="440" w:lineRule="exact"/>
        <w:ind w:firstLine="482"/>
        <w:jc w:val="both"/>
      </w:pPr>
      <w:r>
        <w:rPr>
          <w:rFonts w:ascii="Times New Roman" w:hAnsi="Times New Roman" w:eastAsia="宋体"/>
          <w:b w:val="0"/>
          <w:color w:val="008B00"/>
          <w:sz w:val="24"/>
        </w:rPr>
        <w:t>针对KG增强模型推理资源开销偏高、压缩方案缺乏系统比较的问题，本文围绕原模型设计并实现了三类轻量化变体：仅子图稀疏采样（调节每跳保留节点数与候选边数）、仅参数压缩（缩减隐层维度并降低GNN迭代深度）、以及两者协同。所有变体共享1.3.1（1）建立的评测协议，统一记录Macro-F1/ACC/Cohen's κ、单批次推理时延与显存峰值。实验结果表明，所实现的协同压缩变体在DrugBank与TWOSIDES上均实现了推理时延与显存占用的显著下降，并将精度损失控制在可接受范围内；在此基础上对比单维与协同压缩在不同压缩档位下的代价收益曲线，确定了兼顾精度与资源占用的推荐配置。</w:t>
      </w:r>
    </w:p>
    <w:p w14:paraId="67861F0F">
      <w:pPr>
        <w:spacing w:line="440" w:lineRule="exact"/>
        <w:ind w:firstLine="482"/>
        <w:jc w:val="both"/>
        <w:outlineLvl w:val="3"/>
      </w:pPr>
      <w:r>
        <w:rPr>
          <w:rFonts w:ascii="Times New Roman" w:hAnsi="Times New Roman" w:eastAsia="宋体"/>
          <w:b w:val="0"/>
          <w:color w:val="008B00"/>
          <w:sz w:val="24"/>
        </w:rPr>
        <w:t>（4）实验结果汇总与机制层面的归因分析</w:t>
      </w:r>
    </w:p>
    <w:p w14:paraId="2FEC6CAA">
      <w:pPr>
        <w:spacing w:line="440" w:lineRule="exact"/>
        <w:ind w:firstLine="482"/>
        <w:jc w:val="both"/>
      </w:pPr>
      <w:r>
        <w:rPr>
          <w:rFonts w:ascii="Times New Roman" w:hAnsi="Times New Roman" w:eastAsia="宋体"/>
          <w:b w:val="0"/>
          <w:color w:val="008B00"/>
          <w:sz w:val="24"/>
        </w:rPr>
        <w:t>在上述两条主线实验数据基础上进行统一汇总：对解耦实验，归纳去噪与补全在不同任务粒度下的差异化作用规律及其与KG稀疏度、关系类型分布的对应关系；对轻量化实验，分析拓扑压缩与参数压缩对精度退化曲线和资源占用曲线的不同影响。该部分支撑第六章的总体结论，并对本文方法的局限性进行讨论。</w:t>
      </w:r>
    </w:p>
    <w:p w14:paraId="3D5DFC91">
      <w:pPr>
        <w:spacing w:before="120" w:after="120"/>
        <w:ind w:firstLine="0"/>
        <w:jc w:val="left"/>
        <w:outlineLvl w:val="2"/>
      </w:pPr>
      <w:r>
        <w:rPr>
          <w:rFonts w:ascii="Arial" w:hAnsi="Arial" w:eastAsia="黑体"/>
          <w:b/>
          <w:color w:val="000000"/>
          <w:sz w:val="28"/>
        </w:rPr>
        <w:t>1.3.2 主要创新点</w:t>
      </w:r>
    </w:p>
    <w:p w14:paraId="2EB524A3">
      <w:pPr>
        <w:spacing w:line="440" w:lineRule="exact"/>
        <w:ind w:firstLine="482"/>
        <w:jc w:val="both"/>
      </w:pPr>
      <w:r>
        <w:rPr>
          <w:rFonts w:ascii="Times New Roman" w:hAnsi="Times New Roman" w:eastAsia="宋体"/>
          <w:b w:val="0"/>
          <w:color w:val="008B00"/>
          <w:sz w:val="24"/>
        </w:rPr>
        <w:t>围绕上述两条主线工作，本文的创新点可归纳为以下两点：</w:t>
      </w:r>
    </w:p>
    <w:p w14:paraId="28E62E89">
      <w:pPr>
        <w:spacing w:line="440" w:lineRule="exact"/>
        <w:ind w:firstLine="482"/>
        <w:jc w:val="both"/>
      </w:pPr>
      <w:r>
        <w:rPr>
          <w:rFonts w:ascii="Times New Roman" w:hAnsi="Times New Roman" w:eastAsia="宋体"/>
          <w:b w:val="0"/>
          <w:color w:val="008B00"/>
          <w:sz w:val="24"/>
        </w:rPr>
        <w:t>（1）首次将图结构学习中"去噪"与"补全"两类操作在DDI预测任务上进行可观测层面的功能解耦。通过保持主干网络与训练协议不变、仅开关边删除与边补全分支的方式构造受控变体，定量比较两类操作在DrugBank（多分类）与TWOSIDES（多标签）两类任务下对Macro-F1、ACC、Cohen's κ等指标的独立与联合贡献，并结合子图统计量给出贡献差异的拓扑层面解释，弥补了已有工作仅在整体模块层面进行消融、缺乏分离评估的不足。</w:t>
      </w:r>
    </w:p>
    <w:p w14:paraId="4A46C7D2">
      <w:pPr>
        <w:spacing w:line="440" w:lineRule="exact"/>
        <w:ind w:firstLine="482"/>
        <w:jc w:val="both"/>
      </w:pPr>
      <w:r>
        <w:rPr>
          <w:rFonts w:ascii="Times New Roman" w:hAnsi="Times New Roman" w:eastAsia="宋体"/>
          <w:b w:val="0"/>
          <w:color w:val="008B00"/>
          <w:sz w:val="24"/>
        </w:rPr>
        <w:t>（2）实现并系统评测了KG增强DDI预测模型在"子图拓扑"与"网络参数"两个维度上的轻量化方案。本文将子图稀疏采样、隐层维度与GNN迭代深度作为可调压缩维度，构造并实现了单维变体与协同变体，并在统一评测协议下同时记录精度、推理时延与显存峰值。所实现的协同压缩模型在DrugBank与TWOSIDES上均在精度损失可控的前提下显著降低了推理时延与显存占用，并据此确定了适用于资源受限场景的推荐配置。</w:t>
      </w:r>
    </w:p>
    <w:p w14:paraId="3693B12F">
      <w:pPr>
        <w:spacing w:before="120" w:after="120"/>
        <w:ind w:firstLine="0"/>
        <w:jc w:val="left"/>
        <w:outlineLvl w:val="1"/>
      </w:pPr>
      <w:r>
        <w:rPr>
          <w:rFonts w:ascii="Arial" w:hAnsi="Arial" w:eastAsia="黑体"/>
          <w:b/>
          <w:color w:val="000000"/>
          <w:sz w:val="28"/>
        </w:rPr>
        <w:t>1.4 论文结构安排</w:t>
      </w:r>
    </w:p>
    <w:p w14:paraId="31310BA3">
      <w:pPr>
        <w:spacing w:line="440" w:lineRule="exact"/>
        <w:ind w:firstLine="482"/>
        <w:jc w:val="both"/>
      </w:pPr>
      <w:r>
        <w:rPr>
          <w:color w:val="000000"/>
        </w:rPr>
        <w:t>本文共分为五章，各章的主要内容安排如下：</w:t>
      </w:r>
    </w:p>
    <w:p w14:paraId="257CF518">
      <w:pPr>
        <w:spacing w:line="440" w:lineRule="exact"/>
        <w:ind w:firstLine="482"/>
        <w:jc w:val="both"/>
      </w:pPr>
      <w:r>
        <w:rPr>
          <w:rFonts w:ascii="Times New Roman" w:hAnsi="Times New Roman" w:eastAsia="宋体"/>
          <w:b w:val="0"/>
          <w:color w:val="000000"/>
          <w:sz w:val="24"/>
        </w:rPr>
        <w:t>第一章为绪论。介绍本文的研究背景、研究意义、国内外研究现状以及本文的研究内容、创新点和论文结构安排。</w:t>
      </w:r>
    </w:p>
    <w:p w14:paraId="0D862A7F">
      <w:pPr>
        <w:spacing w:line="440" w:lineRule="exact"/>
        <w:ind w:firstLine="482"/>
        <w:jc w:val="both"/>
      </w:pPr>
      <w:r>
        <w:rPr>
          <w:rFonts w:ascii="Times New Roman" w:hAnsi="Times New Roman" w:eastAsia="宋体"/>
          <w:b w:val="0"/>
          <w:color w:val="000000"/>
          <w:sz w:val="24"/>
        </w:rPr>
        <w:t>第二章为相关理论与技术基础。系统介绍与本研究相关的基础理论，包括知识图谱与生物医学知识图谱、图神经网络基本原理（GraphSAGE、GAT等）、图结构学习与自适应子图抽取、小样本学习背景下的DDI预测挑战，以及轻量化模型设计的基本思路与常用方法。</w:t>
      </w:r>
    </w:p>
    <w:p w14:paraId="52CC401C">
      <w:pPr>
        <w:spacing w:line="440" w:lineRule="exact"/>
        <w:ind w:firstLine="482"/>
        <w:jc w:val="both"/>
      </w:pPr>
      <w:r>
        <w:rPr>
          <w:color w:val="000000"/>
        </w:rPr>
        <w:t>第四章为面向DDI预测的图结构解耦与轻量化方法设计。围绕KnowDDI模型，介绍其整体框架与基线复现，进而提出图结构学习机制（去噪与补全）的消融解耦设计以及面向边缘部署的"拓扑—参数"协同轻量化方案设计。</w:t>
      </w:r>
    </w:p>
    <w:p w14:paraId="29211E3B">
      <w:pPr>
        <w:spacing w:line="440" w:lineRule="exact"/>
        <w:ind w:firstLine="482"/>
        <w:jc w:val="both"/>
      </w:pPr>
      <w:r>
        <w:rPr>
          <w:color w:val="000000"/>
        </w:rPr>
        <w:t>第五章为实验结果及分析。基于第四章的方案设计，分别给出消融实验（DrugBank与TWOSIDES）和轻量化方案评测（分级强度实验、正式方案评测）的结果，并对各模块的边际贡献、轻量化策略的适用边界与折中关系进行综合分析。</w:t>
      </w:r>
    </w:p>
    <w:p w14:paraId="3164758A">
      <w:pPr>
        <w:spacing w:line="440" w:lineRule="exact"/>
        <w:ind w:firstLine="482"/>
        <w:jc w:val="both"/>
      </w:pPr>
      <w:r>
        <w:rPr>
          <w:rFonts w:ascii="Times New Roman" w:hAnsi="Times New Roman" w:eastAsia="宋体"/>
          <w:b w:val="0"/>
          <w:color w:val="000000"/>
          <w:sz w:val="24"/>
        </w:rPr>
        <w:t>第六章为总结与展望。总结本文的主要研究内容与实验结论，分析本研究的局限性，并对未来研究方向进行展望。</w:t>
      </w:r>
    </w:p>
    <w:p w14:paraId="20A468B2">
      <w:r>
        <w:br w:type="page"/>
      </w:r>
    </w:p>
    <w:p w14:paraId="49E5C039">
      <w:pPr>
        <w:spacing w:before="240" w:after="240"/>
        <w:ind w:firstLine="0"/>
        <w:jc w:val="center"/>
        <w:outlineLvl w:val="0"/>
      </w:pPr>
      <w:r>
        <w:rPr>
          <w:rFonts w:ascii="Arial" w:hAnsi="Arial" w:eastAsia="黑体"/>
          <w:b/>
          <w:color w:val="000000"/>
          <w:sz w:val="32"/>
        </w:rPr>
        <w:t>第二章  相关理论与技术基础</w:t>
      </w:r>
    </w:p>
    <w:p w14:paraId="343E9E3B">
      <w:pPr>
        <w:spacing w:before="120" w:after="120"/>
        <w:ind w:firstLine="0"/>
        <w:jc w:val="left"/>
        <w:outlineLvl w:val="1"/>
      </w:pPr>
      <w:r>
        <w:rPr>
          <w:rFonts w:ascii="Arial" w:hAnsi="Arial" w:eastAsia="黑体"/>
          <w:b/>
          <w:color w:val="000000"/>
          <w:sz w:val="28"/>
        </w:rPr>
        <w:t>2.1 知识图谱与生物医学知识图谱</w:t>
      </w:r>
    </w:p>
    <w:p w14:paraId="6F22F1E5">
      <w:pPr>
        <w:spacing w:before="120" w:after="120"/>
        <w:ind w:firstLine="0"/>
        <w:jc w:val="left"/>
        <w:outlineLvl w:val="2"/>
      </w:pPr>
      <w:r>
        <w:rPr>
          <w:rFonts w:ascii="Arial" w:hAnsi="Arial" w:eastAsia="黑体"/>
          <w:b/>
          <w:color w:val="000000"/>
          <w:sz w:val="28"/>
        </w:rPr>
        <w:t>2.1.1 知识图谱基本概念</w:t>
      </w:r>
    </w:p>
    <w:p w14:paraId="027DEF86">
      <w:pPr>
        <w:spacing w:line="440" w:lineRule="exact"/>
        <w:ind w:firstLine="482"/>
        <w:jc w:val="both"/>
      </w:pPr>
      <w:r>
        <w:rPr>
          <w:rFonts w:ascii="Times New Roman" w:hAnsi="Times New Roman" w:eastAsia="宋体"/>
          <w:b w:val="0"/>
          <w:color w:val="000000"/>
          <w:sz w:val="24"/>
        </w:rPr>
        <w:t>知识图谱（Knowledge Graph, KG）是一种以图结构形式组织和表示实体及其关系的知识库。形式化地，知识图谱可以定义为三元组集合 G = {(h, r, t) | h, t ∈ E, r ∈ R}，其中 E 为实体集合，R 为关系类型集合，(h, r, t) 表示头实体 h 与尾实体 t 之间存在关系 r。知识图谱通过结构化方式捕捉了大量领域知识，能够支持语义搜索、问答、推理等多种下游任务。</w:t>
      </w:r>
    </w:p>
    <w:p w14:paraId="6999EC01">
      <w:pPr>
        <w:spacing w:line="440" w:lineRule="exact"/>
        <w:ind w:firstLine="482"/>
        <w:jc w:val="both"/>
      </w:pPr>
      <w:r>
        <w:rPr>
          <w:rFonts w:ascii="Times New Roman" w:hAnsi="Times New Roman" w:eastAsia="宋体"/>
          <w:b w:val="0"/>
          <w:color w:val="000000"/>
          <w:sz w:val="24"/>
        </w:rPr>
        <w:t>自Google于2012年提出"知识图谱"概念以来，业界相继构建了DBpedia、Freebase、Wikidata等大规模通用知识图谱。在生物医学领域，知识图谱技术被用于系统整合基因、蛋白质、药物、疾病等异构生物医学数据，构建了Hetionet、PharmKG、DRKG等面向药学和临床的专用知识图谱。</w:t>
      </w:r>
    </w:p>
    <w:p w14:paraId="4ED0A29A">
      <w:pPr>
        <w:spacing w:before="120" w:after="120"/>
        <w:ind w:firstLine="0"/>
        <w:jc w:val="left"/>
        <w:outlineLvl w:val="2"/>
      </w:pPr>
      <w:r>
        <w:rPr>
          <w:rFonts w:ascii="Arial" w:hAnsi="Arial" w:eastAsia="黑体"/>
          <w:b/>
          <w:color w:val="000000"/>
          <w:sz w:val="28"/>
        </w:rPr>
        <w:t>2.1.2 生物医学知识图谱</w:t>
      </w:r>
    </w:p>
    <w:p w14:paraId="5916915A">
      <w:pPr>
        <w:spacing w:line="440" w:lineRule="exact"/>
        <w:ind w:firstLine="482"/>
        <w:jc w:val="both"/>
      </w:pPr>
      <w:r>
        <w:rPr>
          <w:rFonts w:ascii="Times New Roman" w:hAnsi="Times New Roman" w:eastAsia="宋体"/>
          <w:b w:val="0"/>
          <w:color w:val="000000"/>
          <w:sz w:val="24"/>
        </w:rPr>
        <w:t>本文主要使用Hetionet作为外部背景知识图谱（BKG）。Hetionet</w:t>
      </w:r>
      <w:r>
        <w:rPr>
          <w:rFonts w:ascii="Times New Roman" w:hAnsi="Times New Roman" w:eastAsia="宋体"/>
          <w:b w:val="0"/>
          <w:color w:val="000000"/>
          <w:sz w:val="24"/>
        </w:rPr>
      </w:r>
      <w:r>
        <w:rPr>
          <w:rFonts w:ascii="Times New Roman" w:hAnsi="Times New Roman" w:eastAsia="宋体"/>
          <w:b w:val="0"/>
          <w:color w:val="000000"/>
          <w:sz w:val="24"/>
        </w:rPr>
        <w:t>是一个包含29种节点类型（如基因、疾病、化合物等）和多种关系类型的异构生物医学知识图谱，整合了来自29个公开数据库的生物医学信息。具体而言，Hetionet涵盖了药物-靶点（Compound-Gene）、基因-疾病（Gene-Disease）、药物-疾病（Compound-Disease）等多种类型的生物医学关联，为DDI预测提供了丰富的先验背景知识。</w:t>
      </w:r>
    </w:p>
    <w:p w14:paraId="55E1F8BE">
      <w:pPr>
        <w:spacing w:line="440" w:lineRule="exact"/>
        <w:ind w:firstLine="482"/>
        <w:jc w:val="both"/>
      </w:pPr>
      <w:r>
        <w:rPr>
          <w:rFonts w:ascii="Times New Roman" w:hAnsi="Times New Roman" w:eastAsia="宋体"/>
          <w:b w:val="0"/>
          <w:color w:val="000000"/>
          <w:sz w:val="24"/>
        </w:rPr>
        <w:t>在本研究中，Hetionet作为背景知识图谱（BKG）为目标DDI药物对的子图提取提供拓扑背景，通过将药物的一阶和二阶邻居信息纳入局部子图，使模型能够利用药物的靶点关联、通路关联等生物医学先验知识，有效补偿DDI标注样本的稀缺性。</w:t>
      </w:r>
    </w:p>
    <w:p w14:paraId="755B8CBB">
      <w:pPr>
        <w:spacing w:before="120" w:after="120"/>
        <w:ind w:firstLine="0"/>
        <w:jc w:val="left"/>
        <w:outlineLvl w:val="1"/>
      </w:pPr>
      <w:r>
        <w:rPr>
          <w:rFonts w:ascii="Arial" w:hAnsi="Arial" w:eastAsia="黑体"/>
          <w:b/>
          <w:color w:val="000000"/>
          <w:sz w:val="28"/>
        </w:rPr>
        <w:t>2.2 图神经网络基础</w:t>
      </w:r>
    </w:p>
    <w:p w14:paraId="77FE9A28">
      <w:pPr>
        <w:spacing w:line="440" w:lineRule="exact"/>
        <w:ind w:firstLine="482"/>
        <w:jc w:val="both"/>
      </w:pPr>
      <w:r>
        <w:rPr>
          <w:rFonts w:ascii="Times New Roman" w:hAnsi="Times New Roman" w:eastAsia="宋体"/>
          <w:b w:val="0"/>
          <w:color w:val="000000"/>
          <w:sz w:val="24"/>
        </w:rPr>
        <w:t>图神经网络（Graph Neural Network, GNN）是一类直接在图结构数据上进行表示学习的深度学习模型，其核心思想是通过迭代聚合邻居节点的信息来更新节点表示，实现结构感知的特征提取。</w:t>
      </w:r>
    </w:p>
    <w:p w14:paraId="0B441DB7">
      <w:pPr>
        <w:spacing w:before="120" w:after="120"/>
        <w:ind w:firstLine="0"/>
        <w:jc w:val="left"/>
        <w:outlineLvl w:val="2"/>
      </w:pPr>
      <w:r>
        <w:rPr>
          <w:rFonts w:ascii="Arial" w:hAnsi="Arial" w:eastAsia="黑体"/>
          <w:b/>
          <w:color w:val="000000"/>
          <w:sz w:val="28"/>
        </w:rPr>
        <w:t>2.2.1 图卷积网络（GCN）</w:t>
      </w:r>
    </w:p>
    <w:p w14:paraId="52BBE9E7">
      <w:pPr>
        <w:spacing w:line="440" w:lineRule="exact"/>
        <w:ind w:firstLine="482"/>
        <w:jc w:val="both"/>
      </w:pPr>
      <w:r>
        <w:rPr>
          <w:rFonts w:ascii="Times New Roman" w:hAnsi="Times New Roman" w:eastAsia="宋体"/>
          <w:b w:val="0"/>
          <w:color w:val="000000"/>
          <w:sz w:val="24"/>
        </w:rPr>
        <w:t>图卷积网络（Graph Convolutional Network, GCN）由Kipf和Welling</w:t>
      </w:r>
      <w:r>
        <w:rPr>
          <w:rFonts w:ascii="Times New Roman" w:hAnsi="Times New Roman" w:eastAsia="宋体"/>
          <w:b w:val="0"/>
          <w:color w:val="FF0000"/>
          <w:sz w:val="24"/>
        </w:rPr>
        <w:t>[11]</w:t>
      </w:r>
      <w:r>
        <w:rPr>
          <w:rFonts w:ascii="Times New Roman" w:hAnsi="Times New Roman" w:eastAsia="宋体"/>
          <w:b w:val="0"/>
          <w:color w:val="000000"/>
          <w:sz w:val="24"/>
        </w:rPr>
        <w:t>提出，通过谱域卷积操作定义了图上的卷积运算。GCN的层间传播规则可以表示为：</w:t>
      </w:r>
    </w:p>
    <w:p w14:paraId="02B53F1D">
      <w:pPr>
        <w:spacing w:line="440" w:lineRule="exact"/>
        <w:ind w:firstLine="482"/>
        <w:jc w:val="both"/>
      </w:pPr>
      <w:r>
        <w:rPr>
          <w:rFonts w:ascii="Times New Roman" w:hAnsi="Times New Roman" w:eastAsia="宋体"/>
          <w:b w:val="0"/>
          <w:color w:val="000000"/>
          <w:sz w:val="24"/>
        </w:rPr>
        <w:t>H^(l+1) = σ(D̃^(-1/2) Ã D̃^(-1/2) H^(l) W^(l))</w:t>
      </w:r>
    </w:p>
    <w:p w14:paraId="10AF90AB">
      <w:pPr>
        <w:spacing w:line="440" w:lineRule="exact"/>
        <w:ind w:firstLine="482"/>
        <w:jc w:val="both"/>
      </w:pPr>
      <w:r>
        <w:rPr>
          <w:rFonts w:ascii="Times New Roman" w:hAnsi="Times New Roman" w:eastAsia="宋体"/>
          <w:b w:val="0"/>
          <w:color w:val="000000"/>
          <w:sz w:val="24"/>
        </w:rPr>
        <w:t>其中 Ã = A + I 为添加自环的邻接矩阵，D̃ 为对应的度矩阵，H^(l) 为第 l 层的节点特征矩阵，W^(l) 为可学习的权重矩阵，σ 为激活函数。</w:t>
      </w:r>
    </w:p>
    <w:p w14:paraId="570BA0CA">
      <w:pPr>
        <w:spacing w:before="120" w:after="120"/>
        <w:ind w:firstLine="0"/>
        <w:jc w:val="left"/>
        <w:outlineLvl w:val="2"/>
      </w:pPr>
      <w:r>
        <w:rPr>
          <w:rFonts w:ascii="Arial" w:hAnsi="Arial" w:eastAsia="黑体"/>
          <w:b/>
          <w:color w:val="000000"/>
          <w:sz w:val="28"/>
        </w:rPr>
        <w:t>2.2.2 GraphSAGE</w:t>
      </w:r>
    </w:p>
    <w:p w14:paraId="7EA0C0DB">
      <w:pPr>
        <w:spacing w:line="440" w:lineRule="exact"/>
        <w:ind w:firstLine="482"/>
        <w:jc w:val="both"/>
      </w:pPr>
      <w:r>
        <w:rPr>
          <w:rFonts w:ascii="Times New Roman" w:hAnsi="Times New Roman" w:eastAsia="宋体"/>
          <w:b w:val="0"/>
          <w:color w:val="000000"/>
          <w:sz w:val="24"/>
        </w:rPr>
        <w:t>GraphSAGE（Graph SAmple and aggrEgate）由Hamilton等人</w:t>
      </w:r>
      <w:r>
        <w:rPr>
          <w:rFonts w:ascii="Times New Roman" w:hAnsi="Times New Roman" w:eastAsia="宋体"/>
          <w:b w:val="0"/>
          <w:color w:val="FF0000"/>
          <w:sz w:val="24"/>
        </w:rPr>
        <w:t>[12]</w:t>
      </w:r>
      <w:r>
        <w:rPr>
          <w:rFonts w:ascii="Times New Roman" w:hAnsi="Times New Roman" w:eastAsia="宋体"/>
          <w:b w:val="0"/>
          <w:color w:val="000000"/>
          <w:sz w:val="24"/>
        </w:rPr>
        <w:t>提出，通过对邻域采样后聚合来生成节点嵌入，解决了GCN在归纳学习场景下的限制。GraphSAGE的聚合操作可以表示为：</w:t>
      </w:r>
    </w:p>
    <w:p w14:paraId="2827934E">
      <w:pPr>
        <w:spacing w:line="440" w:lineRule="exact"/>
        <w:ind w:firstLine="482"/>
        <w:jc w:val="both"/>
      </w:pPr>
      <w:r>
        <w:rPr>
          <w:rFonts w:ascii="Times New Roman" w:hAnsi="Times New Roman" w:eastAsia="宋体"/>
          <w:b w:val="0"/>
          <w:color w:val="000000"/>
          <w:sz w:val="24"/>
        </w:rPr>
        <w:t>h_v^(k) = σ(W^k · CONCAT(h_v^(k-1), AGG^k({h_u^(k-1), ∀u ∈ N(v)})))</w:t>
      </w:r>
    </w:p>
    <w:p w14:paraId="6B42AB98">
      <w:pPr>
        <w:spacing w:line="440" w:lineRule="exact"/>
        <w:ind w:firstLine="482"/>
        <w:jc w:val="both"/>
      </w:pPr>
      <w:r>
        <w:rPr>
          <w:rFonts w:ascii="Times New Roman" w:hAnsi="Times New Roman" w:eastAsia="宋体"/>
          <w:b w:val="0"/>
          <w:color w:val="000000"/>
          <w:sz w:val="24"/>
        </w:rPr>
        <w:t>其中 N(v) 为节点 v 的采样邻居集合，AGG^k 为第 k 层的聚合函数（可为均值、最大值或LSTM等），W^k 为可学习参数。</w:t>
      </w:r>
    </w:p>
    <w:p w14:paraId="745B2D8D">
      <w:pPr>
        <w:spacing w:line="440" w:lineRule="exact"/>
        <w:ind w:firstLine="482"/>
        <w:jc w:val="both"/>
      </w:pPr>
      <w:r>
        <w:rPr>
          <w:rFonts w:ascii="Times New Roman" w:hAnsi="Times New Roman" w:eastAsia="宋体"/>
          <w:b w:val="0"/>
          <w:color w:val="000000"/>
          <w:sz w:val="24"/>
        </w:rPr>
        <w:t>GraphSAGE能够高效处理大规模图，且支持对未见节点的归纳预测，非常适合本文的子图级表示学习场景。在KnowDDI模型</w:t>
      </w:r>
      <w:r>
        <w:rPr>
          <w:rFonts w:ascii="Times New Roman" w:hAnsi="Times New Roman" w:eastAsia="宋体"/>
          <w:b w:val="0"/>
          <w:color w:val="FF0000"/>
          <w:sz w:val="24"/>
        </w:rPr>
        <w:t>[9]</w:t>
      </w:r>
      <w:r>
        <w:rPr>
          <w:rFonts w:ascii="Times New Roman" w:hAnsi="Times New Roman" w:eastAsia="宋体"/>
          <w:b w:val="0"/>
          <w:color w:val="000000"/>
          <w:sz w:val="24"/>
        </w:rPr>
        <w:t>中，GraphSAGE被用于在全局知识图谱上生成每个节点的初始嵌入表示。</w:t>
      </w:r>
    </w:p>
    <w:p w14:paraId="3613256E">
      <w:pPr>
        <w:spacing w:before="120" w:after="120"/>
        <w:ind w:firstLine="0"/>
        <w:jc w:val="left"/>
        <w:outlineLvl w:val="2"/>
      </w:pPr>
      <w:r>
        <w:rPr>
          <w:rFonts w:ascii="Arial" w:hAnsi="Arial" w:eastAsia="黑体"/>
          <w:b/>
          <w:color w:val="000000"/>
          <w:sz w:val="28"/>
        </w:rPr>
        <w:t>2.2.3 图注意力网络（GAT）</w:t>
      </w:r>
    </w:p>
    <w:p w14:paraId="0B7FA678">
      <w:pPr>
        <w:spacing w:line="440" w:lineRule="exact"/>
        <w:ind w:firstLine="482"/>
        <w:jc w:val="both"/>
      </w:pPr>
      <w:r>
        <w:rPr>
          <w:rFonts w:ascii="Times New Roman" w:hAnsi="Times New Roman" w:eastAsia="宋体"/>
          <w:b w:val="0"/>
          <w:color w:val="000000"/>
          <w:sz w:val="24"/>
        </w:rPr>
        <w:t>图注意力网络（Graph Attention Network, GAT）由Veličković等人</w:t>
      </w:r>
      <w:r>
        <w:rPr>
          <w:rFonts w:ascii="Times New Roman" w:hAnsi="Times New Roman" w:eastAsia="宋体"/>
          <w:b w:val="0"/>
          <w:color w:val="FF0000"/>
          <w:sz w:val="24"/>
        </w:rPr>
        <w:t>[13]</w:t>
      </w:r>
      <w:r>
        <w:rPr>
          <w:rFonts w:ascii="Times New Roman" w:hAnsi="Times New Roman" w:eastAsia="宋体"/>
          <w:b w:val="0"/>
          <w:color w:val="000000"/>
          <w:sz w:val="24"/>
        </w:rPr>
        <w:t>提出，通过引入注意力机制为不同邻居分配不同的聚合权重，增强了模型的自适应表达能力。GAT的注意力系数计算如下：</w:t>
      </w:r>
    </w:p>
    <w:p w14:paraId="31BF3EFA">
      <w:pPr>
        <w:spacing w:line="440" w:lineRule="exact"/>
        <w:ind w:firstLine="482"/>
        <w:jc w:val="both"/>
      </w:pPr>
      <w:r>
        <w:rPr>
          <w:rFonts w:ascii="Times New Roman" w:hAnsi="Times New Roman" w:eastAsia="宋体"/>
          <w:b w:val="0"/>
          <w:color w:val="000000"/>
          <w:sz w:val="24"/>
        </w:rPr>
        <w:t>α_ij = softmax_j(e_ij) = exp(LeakyReLU(a^T [Wh_i || Wh_j])) / Σ_{k∈N_i} exp(LeakyReLU(a^T [Wh_i || Wh_k]))</w:t>
      </w:r>
    </w:p>
    <w:p w14:paraId="0CCD0125">
      <w:pPr>
        <w:spacing w:line="440" w:lineRule="exact"/>
        <w:ind w:firstLine="482"/>
        <w:jc w:val="both"/>
      </w:pPr>
      <w:r>
        <w:rPr>
          <w:rFonts w:ascii="Times New Roman" w:hAnsi="Times New Roman" w:eastAsia="宋体"/>
          <w:b w:val="0"/>
          <w:color w:val="000000"/>
          <w:sz w:val="24"/>
        </w:rPr>
        <w:t>其中 a 为注意力向量，W 为权重矩阵，|| 表示向量拼接，α_ij 为节点 i 对邻居 j 的注意力权重。</w:t>
      </w:r>
    </w:p>
    <w:p w14:paraId="792FFF87">
      <w:pPr>
        <w:spacing w:before="120" w:after="120"/>
        <w:ind w:firstLine="0"/>
        <w:jc w:val="left"/>
        <w:outlineLvl w:val="1"/>
      </w:pPr>
      <w:r>
        <w:rPr>
          <w:rFonts w:ascii="Arial" w:hAnsi="Arial" w:eastAsia="黑体"/>
          <w:b/>
          <w:color w:val="000000"/>
          <w:sz w:val="28"/>
        </w:rPr>
        <w:t>2.3 图结构学习</w:t>
      </w:r>
    </w:p>
    <w:p w14:paraId="792FFF87">
      <w:pPr>
        <w:pStyle w:val="136"/>
        <w:spacing w:before="120" w:after="120"/>
        <w:ind w:firstLine="0"/>
        <w:jc w:val="left"/>
        <w:outlineLvl w:val="1"/>
      </w:pPr>
      <w:r>
        <w:rPr>
          <w:color w:val="FF0000"/>
        </w:rPr>
        <w:t>在图结构学习领域，近期方法会把不确定性估计和结构自适应联合起来，模型在学习边权时同步评估结构置信度，这使它在噪声边较多的数据里仍然能保持较稳的泛化表现[14]。</w:t>
      </w:r>
    </w:p>
    <w:p w14:paraId="709BDFBA">
      <w:pPr>
        <w:spacing w:line="440" w:lineRule="exact"/>
        <w:ind w:firstLine="482"/>
        <w:jc w:val="both"/>
      </w:pPr>
      <w:r>
        <w:rPr>
          <w:rFonts w:ascii="Times New Roman" w:hAnsi="Times New Roman" w:eastAsia="宋体"/>
          <w:b w:val="0"/>
          <w:color w:val="000000"/>
          <w:sz w:val="24"/>
        </w:rPr>
        <w:t>图结构学习（Graph Structure Learning, GSL）是一类旨在从数据中自适应推断图结构的方法，能够在原始图存在噪声或不完整的情况下，学习更适合下游任务的图拓扑。</w:t>
      </w:r>
    </w:p>
    <w:p w14:paraId="45852826">
      <w:pPr>
        <w:spacing w:before="120" w:after="120"/>
        <w:ind w:firstLine="0"/>
        <w:jc w:val="left"/>
        <w:outlineLvl w:val="2"/>
      </w:pPr>
      <w:r>
        <w:rPr>
          <w:rFonts w:ascii="Arial" w:hAnsi="Arial" w:eastAsia="黑体"/>
          <w:b/>
          <w:color w:val="000000"/>
          <w:sz w:val="28"/>
        </w:rPr>
        <w:t>2.3.1 图结构学习的基本框架</w:t>
      </w:r>
    </w:p>
    <w:p w14:paraId="607A963D">
      <w:pPr>
        <w:spacing w:line="440" w:lineRule="exact"/>
        <w:ind w:firstLine="482"/>
        <w:jc w:val="both"/>
      </w:pPr>
      <w:r>
        <w:rPr>
          <w:rFonts w:ascii="Times New Roman" w:hAnsi="Times New Roman" w:eastAsia="宋体"/>
          <w:b w:val="0"/>
          <w:color w:val="000000"/>
          <w:sz w:val="24"/>
        </w:rPr>
        <w:t>图结构学习方法通常包含两个关键组件：结构估计器和图神经网络。结构估计器负责根据节点特征或其他先验信息估计节点对之间的边存在概率，而图神经网络则在估计的图结构上进行消息传递。典型的图结构学习方法包括基于余弦相似度、基于MLP的边打分、以及基于注意力的边预测等。</w:t>
      </w:r>
    </w:p>
    <w:p w14:paraId="1D008016">
      <w:pPr>
        <w:spacing w:before="120" w:after="120"/>
        <w:ind w:firstLine="0"/>
        <w:jc w:val="left"/>
        <w:outlineLvl w:val="2"/>
      </w:pPr>
      <w:r>
        <w:rPr>
          <w:rFonts w:ascii="Arial" w:hAnsi="Arial" w:eastAsia="黑体"/>
          <w:b/>
          <w:color w:val="000000"/>
          <w:sz w:val="28"/>
        </w:rPr>
        <w:t>2.3.2 去噪与补全机制</w:t>
      </w:r>
    </w:p>
    <w:p w14:paraId="3B9D55EB">
      <w:pPr>
        <w:spacing w:line="440" w:lineRule="exact"/>
        <w:ind w:firstLine="482"/>
        <w:jc w:val="both"/>
      </w:pPr>
      <w:r>
        <w:rPr>
          <w:rFonts w:ascii="Times New Roman" w:hAnsi="Times New Roman" w:eastAsia="宋体"/>
          <w:b w:val="0"/>
          <w:color w:val="000000"/>
          <w:sz w:val="24"/>
        </w:rPr>
        <w:t>在知识图谱增强的DDI预测场景中，图结构学习面临两类核心挑战：</w:t>
      </w:r>
    </w:p>
    <w:p w14:paraId="5855BA10">
      <w:pPr>
        <w:spacing w:line="440" w:lineRule="exact"/>
        <w:ind w:firstLine="482"/>
        <w:jc w:val="both"/>
      </w:pPr>
      <w:r>
        <w:rPr>
          <w:rFonts w:ascii="Times New Roman" w:hAnsi="Times New Roman" w:eastAsia="宋体"/>
          <w:b w:val="0"/>
          <w:color w:val="000000"/>
          <w:sz w:val="24"/>
        </w:rPr>
        <w:t>（1）图去噪（Graph Denoising）：背景知识图谱中存在的冗余或噪声边可能干扰模型对真实药理关联的学习。图去噪的目标是识别并压低这些低质量边的权重，减少噪声信号对表示学习的干扰。</w:t>
      </w:r>
    </w:p>
    <w:p w14:paraId="3705E4FB">
      <w:pPr>
        <w:spacing w:line="440" w:lineRule="exact"/>
        <w:ind w:firstLine="482"/>
        <w:jc w:val="both"/>
      </w:pPr>
      <w:r>
        <w:rPr>
          <w:rFonts w:ascii="Times New Roman" w:hAnsi="Times New Roman" w:eastAsia="宋体"/>
          <w:b w:val="0"/>
          <w:color w:val="000000"/>
          <w:sz w:val="24"/>
        </w:rPr>
        <w:t>（2）图补全（Graph Completion）：由于DDI数据的极度稀疏性，局部子图往往缺失许多潜在的有效连接。图补全的目标是通过学习潜在的高置信度边，为模型补充缺失的结构信息，提升对隐含药理关联的建模能力。</w:t>
      </w:r>
    </w:p>
    <w:p w14:paraId="16CAEA17">
      <w:pPr>
        <w:spacing w:line="440" w:lineRule="exact"/>
        <w:ind w:firstLine="482"/>
        <w:jc w:val="both"/>
      </w:pPr>
      <w:r>
        <w:rPr>
          <w:rFonts w:ascii="Times New Roman" w:hAnsi="Times New Roman" w:eastAsia="宋体"/>
          <w:b w:val="0"/>
          <w:color w:val="000000"/>
          <w:sz w:val="24"/>
        </w:rPr>
        <w:t>KnowDDI模型</w:t>
      </w:r>
      <w:r>
        <w:rPr>
          <w:rFonts w:ascii="Times New Roman" w:hAnsi="Times New Roman" w:eastAsia="宋体"/>
          <w:b w:val="0"/>
          <w:color w:val="FF0000"/>
          <w:sz w:val="24"/>
        </w:rPr>
        <w:t>[9]</w:t>
      </w:r>
      <w:r>
        <w:rPr>
          <w:rFonts w:ascii="Times New Roman" w:hAnsi="Times New Roman" w:eastAsia="宋体"/>
          <w:b w:val="0"/>
          <w:color w:val="000000"/>
          <w:sz w:val="24"/>
        </w:rPr>
        <w:t>将这两种机制融合在同一图结构学习模块中，通过为候选完全图上的每条边学习一个综合权重，同时实现去噪与补全。本文的消融实验将对这两种机制进行解耦，分别评估其独立贡献。</w:t>
      </w:r>
    </w:p>
    <w:p w14:paraId="122CBCAB">
      <w:pPr>
        <w:spacing w:before="120" w:after="120"/>
        <w:ind w:firstLine="0"/>
        <w:jc w:val="left"/>
        <w:outlineLvl w:val="1"/>
      </w:pPr>
      <w:r>
        <w:rPr>
          <w:rFonts w:ascii="Arial" w:hAnsi="Arial" w:eastAsia="黑体"/>
          <w:b/>
          <w:color w:val="000000"/>
          <w:sz w:val="28"/>
        </w:rPr>
        <w:t>2.4 小样本学习背景下的DDI预测</w:t>
      </w:r>
    </w:p>
    <w:p w14:paraId="216BB11F">
      <w:pPr>
        <w:spacing w:line="440" w:lineRule="exact"/>
        <w:ind w:firstLine="482"/>
        <w:jc w:val="both"/>
      </w:pPr>
      <w:r>
        <w:rPr>
          <w:rFonts w:ascii="Times New Roman" w:hAnsi="Times New Roman" w:eastAsia="宋体"/>
          <w:b w:val="0"/>
          <w:color w:val="000000"/>
          <w:sz w:val="24"/>
        </w:rPr>
        <w:t>小样本学习（Few-Shot Learning）是指在训练样本极度稀缺的情况下，仍能有效泛化到新类别或新样本的机器学习范式。在DDI预测任务中，小样本问题表现尤为突出。</w:t>
      </w:r>
    </w:p>
    <w:p w14:paraId="55E7A618">
      <w:pPr>
        <w:spacing w:line="440" w:lineRule="exact"/>
        <w:ind w:firstLine="482"/>
        <w:jc w:val="both"/>
      </w:pPr>
      <w:r>
        <w:rPr>
          <w:rFonts w:ascii="Times New Roman" w:hAnsi="Times New Roman" w:eastAsia="宋体"/>
          <w:b w:val="0"/>
          <w:color w:val="000000"/>
          <w:sz w:val="24"/>
        </w:rPr>
        <w:t>以DrugBank数据集为例，其中包含1710种药物和86类DDI关系，但已知的DDI三元组数量仅占潜在DDI总数（约1710×1710×86/2）的极小比例（不足1%）。这种极度稀疏的标注特性使得传统的深度学习模型面临严重的过拟合风险。</w:t>
      </w:r>
    </w:p>
    <w:p w14:paraId="33E3A54B">
      <w:pPr>
        <w:spacing w:line="440" w:lineRule="exact"/>
        <w:ind w:firstLine="482"/>
        <w:jc w:val="both"/>
      </w:pPr>
      <w:r>
        <w:rPr>
          <w:rFonts w:ascii="Times New Roman" w:hAnsi="Times New Roman" w:eastAsia="宋体"/>
          <w:b w:val="0"/>
          <w:color w:val="000000"/>
          <w:sz w:val="24"/>
        </w:rPr>
        <w:t>为应对这一挑战，现有方法主要从以下两个方向入手：</w:t>
      </w:r>
    </w:p>
    <w:p w14:paraId="42B2E005">
      <w:pPr>
        <w:spacing w:line="440" w:lineRule="exact"/>
        <w:ind w:firstLine="482"/>
        <w:jc w:val="both"/>
      </w:pPr>
      <w:r>
        <w:rPr>
          <w:rFonts w:ascii="Times New Roman" w:hAnsi="Times New Roman" w:eastAsia="宋体"/>
          <w:b w:val="0"/>
          <w:color w:val="000000"/>
          <w:sz w:val="24"/>
        </w:rPr>
        <w:t>（1）知识增强：引入外部生物医学知识图谱作为先验知识来源，通过药物的靶点关联、化学结构关联、疾病适应症关联等多维度信息补偿标注样本的不足。</w:t>
      </w:r>
    </w:p>
    <w:p w14:paraId="440865E0">
      <w:pPr>
        <w:spacing w:line="440" w:lineRule="exact"/>
        <w:ind w:firstLine="482"/>
        <w:jc w:val="both"/>
      </w:pPr>
      <w:r>
        <w:rPr>
          <w:rFonts w:ascii="Times New Roman" w:hAnsi="Times New Roman" w:eastAsia="宋体"/>
          <w:b w:val="0"/>
          <w:color w:val="000000"/>
          <w:sz w:val="24"/>
        </w:rPr>
        <w:t>（2）子图学习：对于每个目标DDI药物对，在背景知识图谱上提取以两个药物节点为中心的局部子图，将DDI预测转化为局部图分类问题。这种策略有效降低了全局图学习的计算复杂度，同时保留了局部拓扑结构信息。</w:t>
      </w:r>
    </w:p>
    <w:p w14:paraId="28685C24">
      <w:pPr>
        <w:spacing w:line="440" w:lineRule="exact"/>
        <w:ind w:firstLine="482"/>
        <w:jc w:val="both"/>
      </w:pPr>
      <w:r>
        <w:rPr>
          <w:rFonts w:ascii="Times New Roman" w:hAnsi="Times New Roman" w:eastAsia="宋体"/>
          <w:b w:val="0"/>
          <w:color w:val="000000"/>
          <w:sz w:val="24"/>
        </w:rPr>
        <w:t>本文研究的KnowDDI模型即采用了知识增强与子图学习相结合的策略，通过图结构学习进一步提升局部子图中的有效信息密度。</w:t>
      </w:r>
    </w:p>
    <w:p w14:paraId="4886CF74">
      <w:pPr>
        <w:spacing w:before="120" w:after="120"/>
        <w:ind w:firstLine="0"/>
        <w:jc w:val="left"/>
        <w:outlineLvl w:val="1"/>
      </w:pPr>
      <w:r>
        <w:rPr>
          <w:rFonts w:ascii="Arial" w:hAnsi="Arial" w:eastAsia="黑体"/>
          <w:b/>
          <w:color w:val="000000"/>
          <w:sz w:val="28"/>
        </w:rPr>
        <w:t>2.5 模型轻量化技术</w:t>
      </w:r>
    </w:p>
    <w:p w14:paraId="1AA3563F">
      <w:pPr>
        <w:spacing w:line="440" w:lineRule="exact"/>
        <w:ind w:firstLine="482"/>
        <w:jc w:val="both"/>
      </w:pPr>
      <w:r>
        <w:rPr>
          <w:rFonts w:ascii="Times New Roman" w:hAnsi="Times New Roman" w:eastAsia="宋体"/>
          <w:b w:val="0"/>
          <w:color w:val="000000"/>
          <w:sz w:val="24"/>
        </w:rPr>
        <w:t>模型轻量化是指在保持模型预测性能基本不变的前提下，通过减少参数量、降低计算复杂度或压缩模型规模，使模型更适合在资源受限的环境中运行。</w:t>
      </w:r>
    </w:p>
    <w:p w14:paraId="21543A49">
      <w:pPr>
        <w:spacing w:before="120" w:after="120"/>
        <w:ind w:firstLine="0"/>
        <w:jc w:val="left"/>
        <w:outlineLvl w:val="2"/>
      </w:pPr>
      <w:r>
        <w:rPr>
          <w:rFonts w:ascii="Arial" w:hAnsi="Arial" w:eastAsia="黑体"/>
          <w:b/>
          <w:color w:val="000000"/>
          <w:sz w:val="28"/>
        </w:rPr>
        <w:t>2.5.1 参数压缩方法</w:t>
      </w:r>
    </w:p>
    <w:p w14:paraId="5912D8EE">
      <w:pPr>
        <w:spacing w:line="440" w:lineRule="exact"/>
        <w:ind w:firstLine="482"/>
        <w:jc w:val="both"/>
      </w:pPr>
      <w:r>
        <w:rPr>
          <w:rFonts w:ascii="Times New Roman" w:hAnsi="Times New Roman" w:eastAsia="宋体"/>
          <w:b w:val="0"/>
          <w:color w:val="000000"/>
          <w:sz w:val="24"/>
        </w:rPr>
        <w:t>参数层面的压缩思路主要包括三种。其一是网络剪枝（Pruning），即识别并移除对模型性能贡献较小的权重或神经元，以降低参数量与计算量，具体可在结构层面（结构化剪枝）或权重层面（非结构化剪枝）进行；其二是特征维度压缩，通过减小嵌入维度（Embedding Dimension）和隐层维度（Hidden Dimension），同时削减参数量与中间激活的内存占用，本文将其作为核心轻量化手段之一；其三是网络层数缩减，通过减少GNN的迭代层数，降低图传播的计算深度，进而减少推理时延。</w:t>
      </w:r>
    </w:p>
    <w:p w14:paraId="14A62201">
      <w:pPr>
        <w:spacing w:before="120" w:after="120"/>
        <w:ind w:firstLine="0"/>
        <w:jc w:val="left"/>
        <w:outlineLvl w:val="2"/>
      </w:pPr>
      <w:r>
        <w:rPr>
          <w:rFonts w:ascii="Arial" w:hAnsi="Arial" w:eastAsia="黑体"/>
          <w:b/>
          <w:color w:val="000000"/>
          <w:sz w:val="28"/>
        </w:rPr>
        <w:t>2.5.2 拓扑压缩方法</w:t>
      </w:r>
    </w:p>
    <w:p w14:paraId="7E4554C0">
      <w:pPr>
        <w:spacing w:line="440" w:lineRule="exact"/>
        <w:ind w:firstLine="482"/>
        <w:jc w:val="both"/>
      </w:pPr>
      <w:r>
        <w:rPr>
          <w:rFonts w:ascii="Times New Roman" w:hAnsi="Times New Roman" w:eastAsia="宋体"/>
          <w:b w:val="0"/>
          <w:color w:val="000000"/>
          <w:sz w:val="24"/>
        </w:rPr>
        <w:t>针对图神经网络特有的计算结构，拓扑压缩通过减少图传播过程中涉及的节点数和边数来降低计算开销。具体而言，一方面可在子图提取阶段进行稀疏采样，通过控制每跳保留的最大节点数（max_nodes_per_hop）与最大候选边数（max_links），从输入规模上降低图传播的计算复杂度，本文将其作为另一核心轻量化手段；另一方面可在消息传递过程中进行邻域采样，仅选取固定数量的邻居节点参与聚合，从而避免高度节点带来的计算瓶颈。</w:t>
      </w:r>
    </w:p>
    <w:p w14:paraId="471440E1">
      <w:pPr>
        <w:spacing w:before="120" w:after="120"/>
        <w:ind w:firstLine="0"/>
        <w:jc w:val="left"/>
        <w:outlineLvl w:val="2"/>
      </w:pPr>
      <w:r>
        <w:rPr>
          <w:rFonts w:ascii="Arial" w:hAnsi="Arial" w:eastAsia="黑体"/>
          <w:b/>
          <w:color w:val="000000"/>
          <w:sz w:val="28"/>
        </w:rPr>
        <w:t>2.5.3 轻量化评估指标</w:t>
      </w:r>
    </w:p>
    <w:p w14:paraId="08457F82">
      <w:pPr>
        <w:spacing w:line="440" w:lineRule="exact"/>
        <w:ind w:firstLine="482"/>
        <w:jc w:val="both"/>
      </w:pPr>
      <w:r>
        <w:rPr>
          <w:rFonts w:ascii="Times New Roman" w:hAnsi="Times New Roman" w:eastAsia="宋体"/>
          <w:b w:val="0"/>
          <w:color w:val="000000"/>
          <w:sz w:val="24"/>
        </w:rPr>
        <w:t>本文采用三类指标对轻量化方案进行综合评估。在精度方面，DrugBank任务采用Macro-F1、ACC和Cohen's κ，TWOSIDES任务采用AUROC和AUPRC；在效率方面，记录推理总时延（Inference Latency，以分钟为单位）与GPU显存峰值（Peak VRAM，以MiB为单位）；在此基础上进行综合折中分析，通过对比精度损失百分比与资源节省百分比，量化不同轻量化方案的性价比。</w:t>
      </w:r>
    </w:p>
    <w:p w14:paraId="2ED71B02">
      <w:pPr>
        <w:spacing w:before="120" w:after="120"/>
        <w:ind w:firstLine="0"/>
        <w:jc w:val="left"/>
        <w:outlineLvl w:val="1"/>
      </w:pPr>
      <w:r>
        <w:rPr>
          <w:rFonts w:ascii="Arial" w:hAnsi="Arial" w:eastAsia="黑体"/>
          <w:b/>
          <w:color w:val="000000"/>
          <w:sz w:val="28"/>
        </w:rPr>
        <w:t>2.6 本章小结</w:t>
      </w:r>
    </w:p>
    <w:p w14:paraId="56F50F3E">
      <w:pPr>
        <w:spacing w:line="440" w:lineRule="exact"/>
        <w:ind w:firstLine="482"/>
        <w:jc w:val="both"/>
      </w:pPr>
      <w:r>
        <w:rPr>
          <w:rFonts w:ascii="Times New Roman" w:hAnsi="Times New Roman" w:eastAsia="宋体"/>
          <w:b w:val="0"/>
          <w:color w:val="008B00"/>
          <w:sz w:val="24"/>
        </w:rPr>
        <w:t>本章围绕本文研究所涉及的基础理论与关键技术展开梳理，依次介绍了知识图谱与生物医学知识图谱的基本概念与典型实例、图神经网络的核心原理及GraphSAGE/GAT等代表性模型、面向小样本DDI预测的图结构学习与自适应子图抽取思路，以及在边缘部署需求驱动下的模型轻量化方法体系。上述内容为后续章节中针对KnowDDI模型的图结构学习机制解耦研究、以及面向资源受限场景的"拓扑—参数"协同轻量化设计奠定了理论与技术基础。</w:t>
      </w:r>
    </w:p>
    <w:p w14:paraId="25C0B399">
      <w:r>
        <w:br w:type="page"/>
      </w:r>
    </w:p>
    <w:p w14:paraId="4551A658">
      <w:pPr>
        <w:pStyle w:val="166"/>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lang w:val="en-US"/>
        </w:rPr>
      </w:pPr>
      <w:bookmarkStart w:id="0" w:name="_Toc241663161"/>
      <w:bookmarkEnd w:id="0"/>
      <w:r>
        <w:rPr>
          <w:color w:val="000000"/>
        </w:rPr>
        <w:t>第4章  面向DDI预测的图结构解耦与轻量化方法设计</w:t>
      </w:r>
    </w:p>
    <w:p w14:paraId="764B6B4A">
      <w:pPr>
        <w:pStyle w:val="167"/>
        <w:spacing w:before="120" w:after="120"/>
        <w:jc w:val="left"/>
      </w:pPr>
      <w:bookmarkStart w:id="1" w:name="_Toc741170450"/>
      <w:r>
        <w:t>4.1 KnowDDI模型与实验基线</w:t>
      </w:r>
    </w:p>
    <w:p w14:paraId="74DA9362">
      <w:pPr>
        <w:pStyle w:val="136"/>
        <w:jc w:val="both"/>
      </w:pPr>
      <w:r>
        <w:t>本节围绕本章消融研究所依托的KnowDDI模型及其复现基线展开介绍，重点说明与图结构学习模块（GSL）相关的结构与参数，以便后续章节聚焦"去噪"与"补全"两类操作的解耦分析。</w:t>
      </w:r>
    </w:p>
    <w:p w14:paraId="316F85CF">
      <w:pPr>
        <w:pStyle w:val="136"/>
        <w:jc w:val="both"/>
      </w:pPr>
      <w:r>
        <w:t>4.1.1 KnowDDI整体框架与GSL模块</w:t>
      </w:r>
    </w:p>
    <w:p w14:paraId="1FC81806">
      <w:pPr>
        <w:pStyle w:val="136"/>
        <w:jc w:val="both"/>
      </w:pPr>
      <w:r>
        <w:t>KnowDDI的整体框架包含子图抽取、GraphSAGE全局编码、图结构学习（GSL）以及分类器四个核心组件。前两者负责从背景知识图谱（BKG，本文采用Hetionet v1.0）中为目标药物对抽取局部子图并初始化节点嵌入，第三个GSL模块对子图边权重进行学习，最后由分类器输出DDI关系类型的预测概率。本章关注的"去噪"与"补全"两类机制均封装在GSL模块中。</w:t>
      </w:r>
    </w:p>
    <w:p w14:paraId="223E9AFC">
      <w:pPr>
        <w:pStyle w:val="136"/>
        <w:jc w:val="both"/>
      </w:pPr>
      <w:r>
        <w:t>GSL模块（pytorch/model/gsl_model.py）在批内构造候选完全连接图，对每条候选边拼接源节点表示、目标节点表示及关系嵌入，输入EdgeGateNetwork得到综合门控得分、去噪得分（denoise_head）与补全得分（completion_head）。模型通过edge softmax归一化后再施加阈值化或Top-K稀疏化，最终在优化后的图结构上完成多轮消息传递。</w:t>
      </w:r>
    </w:p>
    <w:p w14:paraId="6FEB0B79">
      <w:pPr>
        <w:pStyle w:val="136"/>
        <w:jc w:val="both"/>
      </w:pPr>
      <w:r>
        <w:t>在原版KnowDDI中，去噪与补全两类操作被封装于同一EdgeGateNetwork内联合训练，无法直接得到两者各自对预测性能的边际贡献。为此，本文在不改动主干网络的前提下，通过新增训练入口参数--gsl_mode、--use_denoise、--use_completion，分别控制门控网络中denoise分支与completion分支是否参与计算，从而构造可消融、可复现的受控变体。</w:t>
      </w:r>
    </w:p>
    <w:p w14:paraId="526DCCC4">
      <w:pPr>
        <w:pStyle w:val="168"/>
        <w:jc w:val="both"/>
      </w:pPr>
      <w:r>
        <w:t>4.1.2 数据集与实验环境</w:t>
      </w:r>
    </w:p>
    <w:p w14:paraId="2082DE37">
      <w:pPr>
        <w:pStyle w:val="136"/>
        <w:jc w:val="both"/>
      </w:pPr>
      <w:r>
        <w:t>本文使用以下两个公开DDI基准数据集：</w:t>
      </w:r>
    </w:p>
    <w:p w14:paraId="51F70AE3">
      <w:pPr>
        <w:pStyle w:val="136"/>
        <w:jc w:val="both"/>
      </w:pPr>
      <w:r>
        <w:t>（1）DrugBank数据集[15]。本文使用其多分类DDI子集，包含1710种药物和86类DDI关系类型，按标准划分为训练/验证/测试集，统计如表4-1所示。</w:t>
      </w:r>
    </w:p>
    <w:p w14:paraId="0108300C">
      <w:pPr>
        <w:pStyle w:val="169"/>
        <w:jc w:val="both"/>
      </w:pPr>
      <w:r>
        <w:t>表4</w:t>
      </w:r>
      <w:r>
        <w:rPr>
          <w:rFonts w:hint="default"/>
          <w:lang w:val="en-US"/>
        </w:rPr>
        <w:t>.</w:t>
      </w:r>
      <w:r>
        <w:t>1 DrugBank数据集统计</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139"/>
        <w:gridCol w:w="2135"/>
        <w:gridCol w:w="2124"/>
      </w:tblGrid>
      <w:tr w14:paraId="49F7B6FC">
        <w:tc>
          <w:tcPr>
            <w:tcW w:w="2197" w:type="dxa"/>
          </w:tcPr>
          <w:p w14:paraId="7A84CAA9">
            <w:pPr>
              <w:spacing w:after="0" w:line="240" w:lineRule="auto"/>
              <w:jc w:val="center"/>
            </w:pPr>
            <w:r>
              <w:rPr>
                <w:rFonts w:ascii="Times New Roman" w:hAnsi="Times New Roman" w:eastAsia="宋体"/>
                <w:b/>
                <w:color w:val="000000"/>
                <w:sz w:val="21"/>
              </w:rPr>
              <w:t>子集</w:t>
            </w:r>
          </w:p>
        </w:tc>
        <w:tc>
          <w:tcPr>
            <w:tcW w:w="2197" w:type="dxa"/>
          </w:tcPr>
          <w:p w14:paraId="7D977362">
            <w:pPr>
              <w:spacing w:after="0" w:line="240" w:lineRule="auto"/>
              <w:jc w:val="center"/>
            </w:pPr>
            <w:r>
              <w:rPr>
                <w:rFonts w:ascii="Times New Roman" w:hAnsi="Times New Roman" w:eastAsia="宋体"/>
                <w:b/>
                <w:color w:val="000000"/>
                <w:sz w:val="21"/>
              </w:rPr>
              <w:t>样本数</w:t>
            </w:r>
          </w:p>
        </w:tc>
        <w:tc>
          <w:tcPr>
            <w:tcW w:w="2197" w:type="dxa"/>
          </w:tcPr>
          <w:p w14:paraId="6CDCD953">
            <w:pPr>
              <w:spacing w:after="0" w:line="240" w:lineRule="auto"/>
              <w:jc w:val="center"/>
            </w:pPr>
            <w:r>
              <w:rPr>
                <w:rFonts w:ascii="Times New Roman" w:hAnsi="Times New Roman" w:eastAsia="宋体"/>
                <w:b/>
                <w:color w:val="000000"/>
                <w:sz w:val="21"/>
              </w:rPr>
              <w:t>药物数</w:t>
            </w:r>
          </w:p>
        </w:tc>
        <w:tc>
          <w:tcPr>
            <w:tcW w:w="2197" w:type="dxa"/>
          </w:tcPr>
          <w:p w14:paraId="02D56F02">
            <w:pPr>
              <w:spacing w:after="0" w:line="240" w:lineRule="auto"/>
              <w:jc w:val="center"/>
            </w:pPr>
            <w:r>
              <w:rPr>
                <w:rFonts w:ascii="Times New Roman" w:hAnsi="Times New Roman" w:eastAsia="宋体"/>
                <w:b/>
                <w:color w:val="000000"/>
                <w:sz w:val="21"/>
              </w:rPr>
              <w:t>关系类型数</w:t>
            </w:r>
          </w:p>
        </w:tc>
      </w:tr>
      <w:tr w14:paraId="3ECF6D3F">
        <w:tc>
          <w:tcPr>
            <w:tcW w:w="2197" w:type="dxa"/>
          </w:tcPr>
          <w:p w14:paraId="178E63BF">
            <w:pPr>
              <w:spacing w:after="0" w:line="240" w:lineRule="auto"/>
              <w:jc w:val="center"/>
            </w:pPr>
            <w:r>
              <w:rPr>
                <w:rFonts w:ascii="Times New Roman" w:hAnsi="Times New Roman" w:eastAsia="宋体"/>
                <w:b w:val="0"/>
                <w:color w:val="000000"/>
                <w:sz w:val="21"/>
              </w:rPr>
              <w:t>验证集</w:t>
            </w:r>
          </w:p>
        </w:tc>
        <w:tc>
          <w:tcPr>
            <w:tcW w:w="2197" w:type="dxa"/>
          </w:tcPr>
          <w:p w14:paraId="4ABB725F">
            <w:pPr>
              <w:spacing w:after="0" w:line="240" w:lineRule="auto"/>
              <w:jc w:val="center"/>
            </w:pPr>
            <w:r>
              <w:rPr>
                <w:rFonts w:ascii="Times New Roman" w:hAnsi="Times New Roman" w:eastAsia="宋体"/>
                <w:b w:val="0"/>
                <w:color w:val="000000"/>
                <w:sz w:val="21"/>
              </w:rPr>
              <w:t>23,976</w:t>
            </w:r>
          </w:p>
        </w:tc>
        <w:tc>
          <w:tcPr>
            <w:tcW w:w="2197" w:type="dxa"/>
          </w:tcPr>
          <w:p w14:paraId="4C0616E6">
            <w:pPr>
              <w:spacing w:after="0" w:line="240" w:lineRule="auto"/>
              <w:jc w:val="center"/>
            </w:pPr>
            <w:r>
              <w:rPr>
                <w:rFonts w:ascii="Times New Roman" w:hAnsi="Times New Roman" w:eastAsia="宋体"/>
                <w:b w:val="0"/>
                <w:color w:val="000000"/>
                <w:sz w:val="21"/>
              </w:rPr>
              <w:t>1,710</w:t>
            </w:r>
          </w:p>
        </w:tc>
        <w:tc>
          <w:tcPr>
            <w:tcW w:w="2197" w:type="dxa"/>
          </w:tcPr>
          <w:p w14:paraId="029AC230">
            <w:pPr>
              <w:spacing w:after="0" w:line="240" w:lineRule="auto"/>
              <w:jc w:val="center"/>
            </w:pPr>
            <w:r>
              <w:rPr>
                <w:rFonts w:ascii="Times New Roman" w:hAnsi="Times New Roman" w:eastAsia="宋体"/>
                <w:b w:val="0"/>
                <w:color w:val="000000"/>
                <w:sz w:val="21"/>
              </w:rPr>
              <w:t>86</w:t>
            </w:r>
          </w:p>
        </w:tc>
      </w:tr>
      <w:tr w14:paraId="28D4471F">
        <w:tc>
          <w:tcPr>
            <w:tcW w:w="2197" w:type="dxa"/>
          </w:tcPr>
          <w:p w14:paraId="556773B9">
            <w:pPr>
              <w:spacing w:after="0" w:line="240" w:lineRule="auto"/>
              <w:jc w:val="center"/>
            </w:pPr>
            <w:r>
              <w:rPr>
                <w:rFonts w:ascii="Times New Roman" w:hAnsi="Times New Roman" w:eastAsia="宋体"/>
                <w:b w:val="0"/>
                <w:color w:val="000000"/>
                <w:sz w:val="21"/>
              </w:rPr>
              <w:t>测试集</w:t>
            </w:r>
          </w:p>
        </w:tc>
        <w:tc>
          <w:tcPr>
            <w:tcW w:w="2197" w:type="dxa"/>
          </w:tcPr>
          <w:p w14:paraId="741281A5">
            <w:pPr>
              <w:spacing w:after="0" w:line="240" w:lineRule="auto"/>
              <w:jc w:val="center"/>
            </w:pPr>
            <w:r>
              <w:rPr>
                <w:rFonts w:ascii="Times New Roman" w:hAnsi="Times New Roman" w:eastAsia="宋体"/>
                <w:b w:val="0"/>
                <w:color w:val="000000"/>
                <w:sz w:val="21"/>
              </w:rPr>
              <w:t>47,952</w:t>
            </w:r>
          </w:p>
        </w:tc>
        <w:tc>
          <w:tcPr>
            <w:tcW w:w="2197" w:type="dxa"/>
          </w:tcPr>
          <w:p w14:paraId="129EE298">
            <w:pPr>
              <w:spacing w:after="0" w:line="240" w:lineRule="auto"/>
              <w:jc w:val="center"/>
            </w:pPr>
            <w:r>
              <w:rPr>
                <w:rFonts w:ascii="Times New Roman" w:hAnsi="Times New Roman" w:eastAsia="宋体"/>
                <w:b w:val="0"/>
                <w:color w:val="000000"/>
                <w:sz w:val="21"/>
              </w:rPr>
              <w:t>1,710</w:t>
            </w:r>
          </w:p>
        </w:tc>
        <w:tc>
          <w:tcPr>
            <w:tcW w:w="2197" w:type="dxa"/>
          </w:tcPr>
          <w:p w14:paraId="4CB702A0">
            <w:pPr>
              <w:spacing w:after="0" w:line="240" w:lineRule="auto"/>
              <w:jc w:val="center"/>
            </w:pPr>
            <w:r>
              <w:rPr>
                <w:rFonts w:ascii="Times New Roman" w:hAnsi="Times New Roman" w:eastAsia="宋体"/>
                <w:b w:val="0"/>
                <w:color w:val="000000"/>
                <w:sz w:val="21"/>
              </w:rPr>
              <w:t>86</w:t>
            </w:r>
          </w:p>
        </w:tc>
      </w:tr>
    </w:tbl>
    <w:p w14:paraId="462752FE"/>
    <w:p w14:paraId="3E82E860">
      <w:pPr>
        <w:pStyle w:val="136"/>
        <w:jc w:val="both"/>
      </w:pPr>
      <w:r>
        <w:t>（2）TWOSIDES数据集[16]（代码目录命名为BioSNAP）。本文使用其多标签DDI子集，包含645种药物和200类DDI关系，统计如表4-2所示。</w:t>
      </w:r>
    </w:p>
    <w:p w14:paraId="6E755F3E">
      <w:pPr>
        <w:pStyle w:val="169"/>
        <w:jc w:val="both"/>
      </w:pPr>
      <w:r>
        <w:t>表4</w:t>
      </w:r>
      <w:r>
        <w:rPr>
          <w:rFonts w:hint="default"/>
          <w:lang w:val="en-US"/>
        </w:rPr>
        <w:t>.</w:t>
      </w:r>
      <w:r>
        <w:t>2 TWOSIDES数据集统计</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140"/>
        <w:gridCol w:w="2129"/>
        <w:gridCol w:w="2129"/>
      </w:tblGrid>
      <w:tr w14:paraId="41BBC78C">
        <w:tc>
          <w:tcPr>
            <w:tcW w:w="2197" w:type="dxa"/>
          </w:tcPr>
          <w:p w14:paraId="02093279">
            <w:pPr>
              <w:spacing w:after="0" w:line="240" w:lineRule="auto"/>
              <w:jc w:val="center"/>
            </w:pPr>
            <w:r>
              <w:rPr>
                <w:rFonts w:ascii="Times New Roman" w:hAnsi="Times New Roman" w:eastAsia="宋体"/>
                <w:b/>
                <w:color w:val="000000"/>
                <w:sz w:val="21"/>
              </w:rPr>
              <w:t>子集</w:t>
            </w:r>
          </w:p>
        </w:tc>
        <w:tc>
          <w:tcPr>
            <w:tcW w:w="2197" w:type="dxa"/>
          </w:tcPr>
          <w:p w14:paraId="3F7D269F">
            <w:pPr>
              <w:spacing w:after="0" w:line="240" w:lineRule="auto"/>
              <w:jc w:val="center"/>
            </w:pPr>
            <w:r>
              <w:rPr>
                <w:rFonts w:ascii="Times New Roman" w:hAnsi="Times New Roman" w:eastAsia="宋体"/>
                <w:b/>
                <w:color w:val="000000"/>
                <w:sz w:val="21"/>
              </w:rPr>
              <w:t>样本数</w:t>
            </w:r>
          </w:p>
        </w:tc>
        <w:tc>
          <w:tcPr>
            <w:tcW w:w="2197" w:type="dxa"/>
          </w:tcPr>
          <w:p w14:paraId="7CD6907F">
            <w:pPr>
              <w:spacing w:after="0" w:line="240" w:lineRule="auto"/>
              <w:jc w:val="center"/>
            </w:pPr>
            <w:r>
              <w:rPr>
                <w:rFonts w:ascii="Times New Roman" w:hAnsi="Times New Roman" w:eastAsia="宋体"/>
                <w:b/>
                <w:color w:val="000000"/>
                <w:sz w:val="21"/>
              </w:rPr>
              <w:t>药物数</w:t>
            </w:r>
          </w:p>
        </w:tc>
        <w:tc>
          <w:tcPr>
            <w:tcW w:w="2197" w:type="dxa"/>
          </w:tcPr>
          <w:p w14:paraId="50FC5F7F">
            <w:pPr>
              <w:spacing w:after="0" w:line="240" w:lineRule="auto"/>
              <w:jc w:val="center"/>
            </w:pPr>
            <w:r>
              <w:rPr>
                <w:rFonts w:ascii="Times New Roman" w:hAnsi="Times New Roman" w:eastAsia="宋体"/>
                <w:b/>
                <w:color w:val="000000"/>
                <w:sz w:val="21"/>
              </w:rPr>
              <w:t>关系类型数</w:t>
            </w:r>
          </w:p>
        </w:tc>
      </w:tr>
      <w:tr w14:paraId="00C7DEAF">
        <w:tc>
          <w:tcPr>
            <w:tcW w:w="2197" w:type="dxa"/>
          </w:tcPr>
          <w:p w14:paraId="25241315">
            <w:pPr>
              <w:spacing w:after="0" w:line="240" w:lineRule="auto"/>
              <w:jc w:val="center"/>
            </w:pPr>
            <w:r>
              <w:rPr>
                <w:rFonts w:ascii="Times New Roman" w:hAnsi="Times New Roman" w:eastAsia="宋体"/>
                <w:b w:val="0"/>
                <w:color w:val="000000"/>
                <w:sz w:val="21"/>
              </w:rPr>
              <w:t>验证集</w:t>
            </w:r>
          </w:p>
        </w:tc>
        <w:tc>
          <w:tcPr>
            <w:tcW w:w="2197" w:type="dxa"/>
          </w:tcPr>
          <w:p w14:paraId="10E8ABE7">
            <w:pPr>
              <w:spacing w:after="0" w:line="240" w:lineRule="auto"/>
              <w:jc w:val="center"/>
            </w:pPr>
            <w:r>
              <w:rPr>
                <w:rFonts w:ascii="Times New Roman" w:hAnsi="Times New Roman" w:eastAsia="宋体"/>
                <w:b w:val="0"/>
                <w:color w:val="000000"/>
                <w:sz w:val="21"/>
              </w:rPr>
              <w:t>9,229</w:t>
            </w:r>
          </w:p>
        </w:tc>
        <w:tc>
          <w:tcPr>
            <w:tcW w:w="2197" w:type="dxa"/>
          </w:tcPr>
          <w:p w14:paraId="1DA5393E">
            <w:pPr>
              <w:spacing w:after="0" w:line="240" w:lineRule="auto"/>
              <w:jc w:val="center"/>
            </w:pPr>
            <w:r>
              <w:rPr>
                <w:rFonts w:ascii="Times New Roman" w:hAnsi="Times New Roman" w:eastAsia="宋体"/>
                <w:b w:val="0"/>
                <w:color w:val="000000"/>
                <w:sz w:val="21"/>
              </w:rPr>
              <w:t>645</w:t>
            </w:r>
          </w:p>
        </w:tc>
        <w:tc>
          <w:tcPr>
            <w:tcW w:w="2197" w:type="dxa"/>
          </w:tcPr>
          <w:p w14:paraId="0B2CFED7">
            <w:pPr>
              <w:spacing w:after="0" w:line="240" w:lineRule="auto"/>
              <w:jc w:val="center"/>
            </w:pPr>
            <w:r>
              <w:rPr>
                <w:rFonts w:ascii="Times New Roman" w:hAnsi="Times New Roman" w:eastAsia="宋体"/>
                <w:b w:val="0"/>
                <w:color w:val="000000"/>
                <w:sz w:val="21"/>
              </w:rPr>
              <w:t>200</w:t>
            </w:r>
          </w:p>
        </w:tc>
      </w:tr>
      <w:tr w14:paraId="300D442E">
        <w:tc>
          <w:tcPr>
            <w:tcW w:w="2197" w:type="dxa"/>
          </w:tcPr>
          <w:p w14:paraId="3F63590C">
            <w:pPr>
              <w:spacing w:after="0" w:line="240" w:lineRule="auto"/>
              <w:jc w:val="center"/>
            </w:pPr>
            <w:r>
              <w:rPr>
                <w:rFonts w:ascii="Times New Roman" w:hAnsi="Times New Roman" w:eastAsia="宋体"/>
                <w:b w:val="0"/>
                <w:color w:val="000000"/>
                <w:sz w:val="21"/>
              </w:rPr>
              <w:t>测试集</w:t>
            </w:r>
          </w:p>
        </w:tc>
        <w:tc>
          <w:tcPr>
            <w:tcW w:w="2197" w:type="dxa"/>
          </w:tcPr>
          <w:p w14:paraId="4A8CBFE4">
            <w:pPr>
              <w:spacing w:after="0" w:line="240" w:lineRule="auto"/>
              <w:jc w:val="center"/>
            </w:pPr>
            <w:r>
              <w:rPr>
                <w:rFonts w:ascii="Times New Roman" w:hAnsi="Times New Roman" w:eastAsia="宋体"/>
                <w:b w:val="0"/>
                <w:color w:val="000000"/>
                <w:sz w:val="21"/>
              </w:rPr>
              <w:t>18,459</w:t>
            </w:r>
          </w:p>
        </w:tc>
        <w:tc>
          <w:tcPr>
            <w:tcW w:w="2197" w:type="dxa"/>
          </w:tcPr>
          <w:p w14:paraId="526B0537">
            <w:pPr>
              <w:spacing w:after="0" w:line="240" w:lineRule="auto"/>
              <w:jc w:val="center"/>
            </w:pPr>
            <w:r>
              <w:rPr>
                <w:rFonts w:ascii="Times New Roman" w:hAnsi="Times New Roman" w:eastAsia="宋体"/>
                <w:b w:val="0"/>
                <w:color w:val="000000"/>
                <w:sz w:val="21"/>
              </w:rPr>
              <w:t>645</w:t>
            </w:r>
          </w:p>
        </w:tc>
        <w:tc>
          <w:tcPr>
            <w:tcW w:w="2197" w:type="dxa"/>
          </w:tcPr>
          <w:p w14:paraId="6252E8DB">
            <w:pPr>
              <w:spacing w:after="0" w:line="240" w:lineRule="auto"/>
              <w:jc w:val="center"/>
            </w:pPr>
            <w:r>
              <w:rPr>
                <w:rFonts w:ascii="Times New Roman" w:hAnsi="Times New Roman" w:eastAsia="宋体"/>
                <w:b w:val="0"/>
                <w:color w:val="000000"/>
                <w:sz w:val="21"/>
              </w:rPr>
              <w:t>200</w:t>
            </w:r>
          </w:p>
        </w:tc>
      </w:tr>
    </w:tbl>
    <w:p w14:paraId="3556B7C9"/>
    <w:p w14:paraId="0552192E">
      <w:pPr>
        <w:pStyle w:val="136"/>
        <w:jc w:val="both"/>
      </w:pPr>
      <w:r>
        <w:t>背景知识图谱方面，本文使用Hetionet v1.0作为BKG_file，共包含约47000个节点和约2250000条边，覆盖化合物、基因、疾病、通路等多种实体类型及其相互关系。</w:t>
      </w:r>
    </w:p>
    <w:p w14:paraId="0E26A4DA">
      <w:pPr>
        <w:pStyle w:val="136"/>
        <w:jc w:val="both"/>
      </w:pPr>
      <w:r>
        <w:t>实验在以下硬件与软件环境中完成：GPU为NVIDIA GeForce RTX 4090（24GB显存），CPU为Intel Core i9系列，内存32GB DDR5；操作系统Ubuntu 22.04 LTS，Python 3.12，PyTorch 2.3.0+cu121，DGL 2.0+，CUDA 12.1，scikit-learn 1.3.0。</w:t>
      </w:r>
    </w:p>
    <w:p w14:paraId="1AEFC375">
      <w:pPr>
        <w:pStyle w:val="168"/>
        <w:jc w:val="both"/>
      </w:pPr>
      <w:r>
        <w:t>4.1.3 基线复现结果</w:t>
      </w:r>
    </w:p>
    <w:p w14:paraId="3A0D12E7">
      <w:pPr>
        <w:pStyle w:val="136"/>
        <w:jc w:val="both"/>
      </w:pPr>
      <w:r>
        <w:t>为给消融实验提供可靠的对比基线，本文在与KnowDDI原论文一致的实验协议（emb_dim=32、gsl_rel_emb_dim=8、MLP_hidden_dim=64、batch_size=64、Adam优化器、3个固定随机种子）下完成基线复现，结果如表4-3、表4-4所示。</w:t>
      </w:r>
    </w:p>
    <w:p w14:paraId="2ED21624">
      <w:pPr>
        <w:pStyle w:val="169"/>
        <w:jc w:val="both"/>
      </w:pPr>
      <w:r>
        <w:t>表4</w:t>
      </w:r>
      <w:r>
        <w:rPr>
          <w:rFonts w:hint="default"/>
          <w:lang w:val="en-US"/>
        </w:rPr>
        <w:t>.</w:t>
      </w:r>
      <w:r>
        <w:t>3 DrugBank基准复现结果对比</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2129"/>
        <w:gridCol w:w="2119"/>
        <w:gridCol w:w="2133"/>
      </w:tblGrid>
      <w:tr w14:paraId="3CF5FE6B">
        <w:tc>
          <w:tcPr>
            <w:tcW w:w="2197" w:type="dxa"/>
          </w:tcPr>
          <w:p w14:paraId="14FEBD14">
            <w:pPr>
              <w:spacing w:after="0" w:line="240" w:lineRule="auto"/>
              <w:jc w:val="center"/>
            </w:pPr>
          </w:p>
        </w:tc>
        <w:tc>
          <w:tcPr>
            <w:tcW w:w="2197" w:type="dxa"/>
          </w:tcPr>
          <w:p w14:paraId="24AC0EEB">
            <w:pPr>
              <w:spacing w:after="0" w:line="240" w:lineRule="auto"/>
              <w:jc w:val="center"/>
            </w:pPr>
            <w:r>
              <w:rPr>
                <w:rFonts w:ascii="Times New Roman" w:hAnsi="Times New Roman" w:eastAsia="宋体"/>
                <w:b/>
                <w:color w:val="000000"/>
                <w:sz w:val="21"/>
              </w:rPr>
              <w:t>Macro-F1</w:t>
            </w:r>
          </w:p>
        </w:tc>
        <w:tc>
          <w:tcPr>
            <w:tcW w:w="2197" w:type="dxa"/>
          </w:tcPr>
          <w:p w14:paraId="6A347936">
            <w:pPr>
              <w:spacing w:after="0" w:line="240" w:lineRule="auto"/>
              <w:jc w:val="center"/>
            </w:pPr>
            <w:r>
              <w:rPr>
                <w:rFonts w:ascii="Times New Roman" w:hAnsi="Times New Roman" w:eastAsia="宋体"/>
                <w:b/>
                <w:color w:val="000000"/>
                <w:sz w:val="21"/>
              </w:rPr>
              <w:t>ACC</w:t>
            </w:r>
          </w:p>
        </w:tc>
        <w:tc>
          <w:tcPr>
            <w:tcW w:w="2197" w:type="dxa"/>
          </w:tcPr>
          <w:p w14:paraId="6B37EF0E">
            <w:pPr>
              <w:spacing w:after="0" w:line="240" w:lineRule="auto"/>
              <w:jc w:val="center"/>
            </w:pPr>
            <w:r>
              <w:rPr>
                <w:rFonts w:ascii="Times New Roman" w:hAnsi="Times New Roman" w:eastAsia="宋体"/>
                <w:b/>
                <w:color w:val="000000"/>
                <w:sz w:val="21"/>
              </w:rPr>
              <w:t>Cohen's κ</w:t>
            </w:r>
          </w:p>
        </w:tc>
      </w:tr>
      <w:tr w14:paraId="3DD03F82">
        <w:tc>
          <w:tcPr>
            <w:tcW w:w="2197" w:type="dxa"/>
          </w:tcPr>
          <w:p w14:paraId="2FC462D0">
            <w:pPr>
              <w:spacing w:after="0" w:line="240" w:lineRule="auto"/>
              <w:jc w:val="center"/>
            </w:pPr>
            <w:r>
              <w:rPr>
                <w:rFonts w:ascii="Times New Roman" w:hAnsi="Times New Roman" w:eastAsia="宋体"/>
                <w:b w:val="0"/>
                <w:color w:val="000000"/>
                <w:sz w:val="21"/>
              </w:rPr>
              <w:t>KnowDDI原论文</w:t>
            </w:r>
          </w:p>
        </w:tc>
        <w:tc>
          <w:tcPr>
            <w:tcW w:w="2197" w:type="dxa"/>
          </w:tcPr>
          <w:p w14:paraId="7215ECFB">
            <w:pPr>
              <w:spacing w:after="0" w:line="240" w:lineRule="auto"/>
              <w:jc w:val="center"/>
            </w:pPr>
            <w:r>
              <w:rPr>
                <w:rFonts w:ascii="Times New Roman" w:hAnsi="Times New Roman" w:eastAsia="宋体"/>
                <w:b w:val="0"/>
                <w:color w:val="000000"/>
                <w:sz w:val="21"/>
              </w:rPr>
              <w:t>91.53 ± 0.24</w:t>
            </w:r>
          </w:p>
        </w:tc>
        <w:tc>
          <w:tcPr>
            <w:tcW w:w="2197" w:type="dxa"/>
          </w:tcPr>
          <w:p w14:paraId="2D949B55">
            <w:pPr>
              <w:spacing w:after="0" w:line="240" w:lineRule="auto"/>
              <w:jc w:val="center"/>
            </w:pPr>
            <w:r>
              <w:rPr>
                <w:rFonts w:ascii="Times New Roman" w:hAnsi="Times New Roman" w:eastAsia="宋体"/>
                <w:b w:val="0"/>
                <w:color w:val="000000"/>
                <w:sz w:val="21"/>
              </w:rPr>
              <w:t>93.17 ± 0.09</w:t>
            </w:r>
          </w:p>
        </w:tc>
        <w:tc>
          <w:tcPr>
            <w:tcW w:w="2197" w:type="dxa"/>
          </w:tcPr>
          <w:p w14:paraId="76F26F8B">
            <w:pPr>
              <w:spacing w:after="0" w:line="240" w:lineRule="auto"/>
              <w:jc w:val="center"/>
            </w:pPr>
            <w:r>
              <w:rPr>
                <w:rFonts w:ascii="Times New Roman" w:hAnsi="Times New Roman" w:eastAsia="宋体"/>
                <w:b w:val="0"/>
                <w:color w:val="000000"/>
                <w:sz w:val="21"/>
              </w:rPr>
              <w:t>91.89 ± 0.11</w:t>
            </w:r>
          </w:p>
        </w:tc>
      </w:tr>
      <w:tr w14:paraId="1E627F56">
        <w:tc>
          <w:tcPr>
            <w:tcW w:w="2197" w:type="dxa"/>
          </w:tcPr>
          <w:p w14:paraId="5BAF4EB2">
            <w:pPr>
              <w:spacing w:after="0" w:line="240" w:lineRule="auto"/>
              <w:jc w:val="center"/>
            </w:pPr>
            <w:r>
              <w:rPr>
                <w:rFonts w:ascii="Times New Roman" w:hAnsi="Times New Roman" w:eastAsia="宋体"/>
                <w:b w:val="0"/>
                <w:color w:val="000000"/>
                <w:sz w:val="21"/>
              </w:rPr>
              <w:t>本文复现</w:t>
            </w:r>
          </w:p>
        </w:tc>
        <w:tc>
          <w:tcPr>
            <w:tcW w:w="2197" w:type="dxa"/>
          </w:tcPr>
          <w:p w14:paraId="56D28D9C">
            <w:pPr>
              <w:spacing w:after="0" w:line="240" w:lineRule="auto"/>
              <w:jc w:val="center"/>
            </w:pPr>
            <w:r>
              <w:rPr>
                <w:rFonts w:ascii="Times New Roman" w:hAnsi="Times New Roman" w:eastAsia="宋体"/>
                <w:b w:val="0"/>
                <w:color w:val="000000"/>
                <w:sz w:val="21"/>
              </w:rPr>
              <w:t>91.49 ± 0.11</w:t>
            </w:r>
          </w:p>
        </w:tc>
        <w:tc>
          <w:tcPr>
            <w:tcW w:w="2197" w:type="dxa"/>
          </w:tcPr>
          <w:p w14:paraId="79824BBB">
            <w:pPr>
              <w:spacing w:after="0" w:line="240" w:lineRule="auto"/>
              <w:jc w:val="center"/>
            </w:pPr>
            <w:r>
              <w:rPr>
                <w:rFonts w:ascii="Times New Roman" w:hAnsi="Times New Roman" w:eastAsia="宋体"/>
                <w:b w:val="0"/>
                <w:color w:val="000000"/>
                <w:sz w:val="21"/>
              </w:rPr>
              <w:t>92.86 ± 0.09</w:t>
            </w:r>
          </w:p>
        </w:tc>
        <w:tc>
          <w:tcPr>
            <w:tcW w:w="2197" w:type="dxa"/>
          </w:tcPr>
          <w:p w14:paraId="51CF66E5">
            <w:pPr>
              <w:spacing w:after="0" w:line="240" w:lineRule="auto"/>
              <w:jc w:val="center"/>
            </w:pPr>
            <w:r>
              <w:rPr>
                <w:rFonts w:ascii="Times New Roman" w:hAnsi="Times New Roman" w:eastAsia="宋体"/>
                <w:b w:val="0"/>
                <w:color w:val="000000"/>
                <w:sz w:val="21"/>
              </w:rPr>
              <w:t>91.53 ± 0.08</w:t>
            </w:r>
          </w:p>
        </w:tc>
      </w:tr>
    </w:tbl>
    <w:p w14:paraId="0602C9B0"/>
    <w:p w14:paraId="21648491">
      <w:pPr>
        <w:pStyle w:val="169"/>
        <w:jc w:val="both"/>
      </w:pPr>
      <w:r>
        <w:t>表4</w:t>
      </w:r>
      <w:r>
        <w:rPr>
          <w:rFonts w:hint="default"/>
          <w:lang w:val="en-US"/>
        </w:rPr>
        <w:t>.</w:t>
      </w:r>
      <w:r>
        <w:t>4 TWOSIDES基准复现结果对比</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2839"/>
        <w:gridCol w:w="2838"/>
      </w:tblGrid>
      <w:tr w14:paraId="036D152A">
        <w:tc>
          <w:tcPr>
            <w:tcW w:w="2929" w:type="dxa"/>
          </w:tcPr>
          <w:p w14:paraId="21E5EC93">
            <w:pPr>
              <w:spacing w:after="0" w:line="240" w:lineRule="auto"/>
              <w:jc w:val="center"/>
            </w:pPr>
          </w:p>
        </w:tc>
        <w:tc>
          <w:tcPr>
            <w:tcW w:w="2929" w:type="dxa"/>
          </w:tcPr>
          <w:p w14:paraId="099691AF">
            <w:pPr>
              <w:spacing w:after="0" w:line="240" w:lineRule="auto"/>
              <w:jc w:val="center"/>
            </w:pPr>
            <w:r>
              <w:rPr>
                <w:rFonts w:ascii="Times New Roman" w:hAnsi="Times New Roman" w:eastAsia="宋体"/>
                <w:b/>
                <w:color w:val="000000"/>
                <w:sz w:val="21"/>
              </w:rPr>
              <w:t>AUROC</w:t>
            </w:r>
          </w:p>
        </w:tc>
        <w:tc>
          <w:tcPr>
            <w:tcW w:w="2929" w:type="dxa"/>
          </w:tcPr>
          <w:p w14:paraId="0F1CD2D6">
            <w:pPr>
              <w:spacing w:after="0" w:line="240" w:lineRule="auto"/>
              <w:jc w:val="center"/>
            </w:pPr>
            <w:r>
              <w:rPr>
                <w:rFonts w:ascii="Times New Roman" w:hAnsi="Times New Roman" w:eastAsia="宋体"/>
                <w:b/>
                <w:color w:val="000000"/>
                <w:sz w:val="21"/>
              </w:rPr>
              <w:t>AUPRC</w:t>
            </w:r>
          </w:p>
        </w:tc>
      </w:tr>
      <w:tr w14:paraId="24D2639D">
        <w:tc>
          <w:tcPr>
            <w:tcW w:w="2929" w:type="dxa"/>
          </w:tcPr>
          <w:p w14:paraId="796E0D5E">
            <w:pPr>
              <w:spacing w:after="0" w:line="240" w:lineRule="auto"/>
              <w:jc w:val="center"/>
            </w:pPr>
            <w:r>
              <w:rPr>
                <w:rFonts w:ascii="Times New Roman" w:hAnsi="Times New Roman" w:eastAsia="宋体"/>
                <w:b w:val="0"/>
                <w:color w:val="000000"/>
                <w:sz w:val="21"/>
              </w:rPr>
              <w:t>KnowDDI原论文</w:t>
            </w:r>
          </w:p>
        </w:tc>
        <w:tc>
          <w:tcPr>
            <w:tcW w:w="2929" w:type="dxa"/>
          </w:tcPr>
          <w:p w14:paraId="0DF8B8BE">
            <w:pPr>
              <w:spacing w:after="0" w:line="240" w:lineRule="auto"/>
              <w:jc w:val="center"/>
            </w:pPr>
            <w:r>
              <w:rPr>
                <w:rFonts w:ascii="Times New Roman" w:hAnsi="Times New Roman" w:eastAsia="宋体"/>
                <w:b w:val="0"/>
                <w:color w:val="000000"/>
                <w:sz w:val="21"/>
              </w:rPr>
              <w:t>95.43 ± 0.02</w:t>
            </w:r>
          </w:p>
        </w:tc>
        <w:tc>
          <w:tcPr>
            <w:tcW w:w="2929" w:type="dxa"/>
          </w:tcPr>
          <w:p w14:paraId="25500807">
            <w:pPr>
              <w:spacing w:after="0" w:line="240" w:lineRule="auto"/>
              <w:jc w:val="center"/>
            </w:pPr>
            <w:r>
              <w:rPr>
                <w:rFonts w:ascii="Times New Roman" w:hAnsi="Times New Roman" w:eastAsia="宋体"/>
                <w:b w:val="0"/>
                <w:color w:val="000000"/>
                <w:sz w:val="21"/>
              </w:rPr>
              <w:t>94.14 ± 0.03</w:t>
            </w:r>
          </w:p>
        </w:tc>
      </w:tr>
      <w:tr w14:paraId="38F6D2E2">
        <w:tc>
          <w:tcPr>
            <w:tcW w:w="2929" w:type="dxa"/>
          </w:tcPr>
          <w:p w14:paraId="727F215B">
            <w:pPr>
              <w:spacing w:after="0" w:line="240" w:lineRule="auto"/>
              <w:jc w:val="center"/>
            </w:pPr>
            <w:r>
              <w:rPr>
                <w:rFonts w:ascii="Times New Roman" w:hAnsi="Times New Roman" w:eastAsia="宋体"/>
                <w:b w:val="0"/>
                <w:color w:val="000000"/>
                <w:sz w:val="21"/>
              </w:rPr>
              <w:t>本文复现</w:t>
            </w:r>
          </w:p>
        </w:tc>
        <w:tc>
          <w:tcPr>
            <w:tcW w:w="2929" w:type="dxa"/>
          </w:tcPr>
          <w:p w14:paraId="393B3478">
            <w:pPr>
              <w:spacing w:after="0" w:line="240" w:lineRule="auto"/>
              <w:jc w:val="center"/>
            </w:pPr>
            <w:r>
              <w:rPr>
                <w:rFonts w:ascii="Times New Roman" w:hAnsi="Times New Roman" w:eastAsia="宋体"/>
                <w:b w:val="0"/>
                <w:color w:val="000000"/>
                <w:sz w:val="21"/>
              </w:rPr>
              <w:t>95.44 ± 0.01</w:t>
            </w:r>
          </w:p>
        </w:tc>
        <w:tc>
          <w:tcPr>
            <w:tcW w:w="2929" w:type="dxa"/>
          </w:tcPr>
          <w:p w14:paraId="3443A891">
            <w:pPr>
              <w:spacing w:after="0" w:line="240" w:lineRule="auto"/>
              <w:jc w:val="center"/>
            </w:pPr>
            <w:r>
              <w:rPr>
                <w:rFonts w:ascii="Times New Roman" w:hAnsi="Times New Roman" w:eastAsia="宋体"/>
                <w:b w:val="0"/>
                <w:color w:val="000000"/>
                <w:sz w:val="21"/>
              </w:rPr>
              <w:t>94.11 ± 0.07</w:t>
            </w:r>
          </w:p>
        </w:tc>
      </w:tr>
    </w:tbl>
    <w:p w14:paraId="1F3456FB"/>
    <w:p w14:paraId="59143800">
      <w:pPr>
        <w:pStyle w:val="136"/>
        <w:jc w:val="both"/>
      </w:pPr>
      <w:r>
        <w:t>在两个数据集上，本文复现结果与原论文报告值的偏差均控制在合理范围内，可作为后续消融与轻量化实验的可靠对比基线。同时，在eval_only模式下记录的基线推理效率为：DrugBank推理总时长3m58.400s、显存峰值1667 MiB；TWOSIDES推理总时长6m13.810s、显存峰值911 MiB。</w:t>
      </w:r>
    </w:p>
    <w:p w14:paraId="0182F5D8">
      <w:pPr>
        <w:pStyle w:val="167"/>
        <w:bidi w:val="0"/>
        <w:rPr>
          <w:rFonts w:hint="default"/>
          <w:lang w:val="en-US" w:eastAsia="zh-CN"/>
        </w:rPr>
      </w:pPr>
    </w:p>
    <w:p w14:paraId="457E5526">
      <w:pPr>
        <w:pStyle w:val="167"/>
        <w:bidi w:val="0"/>
        <w:rPr>
          <w:lang w:val="en-US"/>
        </w:rPr>
      </w:pPr>
      <w:bookmarkEnd w:id="1"/>
      <w:r>
        <w:rPr>
          <w:color w:val="000000"/>
        </w:rPr>
        <w:t>4.2 消融实验设计</w:t>
      </w:r>
    </w:p>
    <w:p w14:paraId="081BCD50">
      <w:pPr>
        <w:pStyle w:val="168"/>
        <w:bidi w:val="0"/>
        <w:rPr>
          <w:lang w:val="en-US"/>
        </w:rPr>
      </w:pPr>
      <w:bookmarkStart w:id="2" w:name="_Toc1446600550"/>
      <w:bookmarkEnd w:id="2"/>
      <w:r>
        <w:rPr>
          <w:color w:val="000000"/>
        </w:rPr>
        <w:t>4.2.1 研究动机</w:t>
      </w:r>
    </w:p>
    <w:p w14:paraId="5149BE56">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default"/>
          <w:lang w:val="en-US" w:eastAsia="zh-CN"/>
        </w:rPr>
        <w:t>KnowDDI</w:t>
      </w:r>
      <w:r>
        <w:rPr>
          <w:rFonts w:hint="eastAsia"/>
          <w:lang w:val="en-US" w:eastAsia="zh-CN"/>
        </w:rPr>
        <w:t>模型的核心创新在于将</w:t>
      </w:r>
      <w:r>
        <w:rPr>
          <w:rFonts w:hint="default"/>
          <w:lang w:val="en-US" w:eastAsia="zh-CN"/>
        </w:rPr>
        <w:t>"</w:t>
      </w:r>
      <w:r>
        <w:rPr>
          <w:rFonts w:hint="eastAsia"/>
          <w:lang w:val="en-US" w:eastAsia="zh-CN"/>
        </w:rPr>
        <w:t>去噪</w:t>
      </w:r>
      <w:r>
        <w:rPr>
          <w:rFonts w:hint="default"/>
          <w:lang w:val="en-US" w:eastAsia="zh-CN"/>
        </w:rPr>
        <w:t>"</w:t>
      </w:r>
      <w:r>
        <w:rPr>
          <w:rFonts w:hint="eastAsia"/>
          <w:lang w:val="en-US" w:eastAsia="zh-CN"/>
        </w:rPr>
        <w:t>（</w:t>
      </w:r>
      <w:r>
        <w:rPr>
          <w:rFonts w:hint="default"/>
          <w:lang w:val="en-US" w:eastAsia="zh-CN"/>
        </w:rPr>
        <w:t>Denoising</w:t>
      </w:r>
      <w:r>
        <w:rPr>
          <w:rFonts w:hint="eastAsia"/>
          <w:lang w:val="en-US" w:eastAsia="zh-CN"/>
        </w:rPr>
        <w:t>）与</w:t>
      </w:r>
      <w:r>
        <w:rPr>
          <w:rFonts w:hint="default"/>
          <w:lang w:val="en-US" w:eastAsia="zh-CN"/>
        </w:rPr>
        <w:t>"</w:t>
      </w:r>
      <w:r>
        <w:rPr>
          <w:rFonts w:hint="eastAsia"/>
          <w:lang w:val="en-US" w:eastAsia="zh-CN"/>
        </w:rPr>
        <w:t>补全</w:t>
      </w:r>
      <w:r>
        <w:rPr>
          <w:rFonts w:hint="default"/>
          <w:lang w:val="en-US" w:eastAsia="zh-CN"/>
        </w:rPr>
        <w:t>"</w:t>
      </w:r>
      <w:r>
        <w:rPr>
          <w:rFonts w:hint="eastAsia"/>
          <w:lang w:val="en-US" w:eastAsia="zh-CN"/>
        </w:rPr>
        <w:t>（</w:t>
      </w:r>
      <w:r>
        <w:rPr>
          <w:rFonts w:hint="default"/>
          <w:lang w:val="en-US" w:eastAsia="zh-CN"/>
        </w:rPr>
        <w:t>Completion</w:t>
      </w:r>
      <w:r>
        <w:rPr>
          <w:rFonts w:hint="eastAsia"/>
          <w:lang w:val="en-US" w:eastAsia="zh-CN"/>
        </w:rPr>
        <w:t>）两种图结构操作融合在同一图结构学习模块中。然而，</w:t>
      </w:r>
      <w:commentRangeStart w:id="0"/>
      <w:r>
        <w:rPr>
          <w:rFonts w:hint="eastAsia"/>
          <w:lang w:val="en-US" w:eastAsia="zh-CN"/>
        </w:rPr>
        <w:t>现有研究缺少对这两种操作各自独立贡献的定量评估。</w:t>
      </w:r>
      <w:commentRangeEnd w:id="0"/>
      <w:r>
        <w:commentReference w:id="0"/>
      </w:r>
      <w:r>
        <w:rPr>
          <w:rFonts w:hint="eastAsia"/>
          <w:lang w:val="en-US" w:eastAsia="zh-CN"/>
        </w:rPr>
        <w:t>为此，本章设计系统性消融实验，通过受控变体构建，对两类机制的边际贡献进行定量解耦。</w:t>
      </w:r>
    </w:p>
    <w:p w14:paraId="59F8E58D">
      <w:pPr>
        <w:pStyle w:val="168"/>
        <w:bidi w:val="0"/>
        <w:rPr>
          <w:lang w:val="en-US"/>
        </w:rPr>
      </w:pPr>
      <w:bookmarkStart w:id="3" w:name="_Toc1353076163"/>
      <w:bookmarkEnd w:id="3"/>
      <w:r>
        <w:rPr>
          <w:color w:val="000000"/>
        </w:rPr>
        <w:t>4.2.2 受控变体构建</w:t>
      </w:r>
    </w:p>
    <w:p w14:paraId="5F13925F">
      <w:pPr>
        <w:pStyle w:val="136"/>
        <w:jc w:val="both"/>
      </w:pPr>
      <w:r>
        <w:t>为了把"去噪"和"补全"这两个动作从KnowDDI的GSL模块里单独拎出来逐一观察，本节围绕`gsl_mode`这个总开关构造了四组受控变体，使其在训练与推理流程上保持一致，仅在GSL内部启用的门控头不同。</w:t>
      </w:r>
    </w:p>
    <w:p w14:paraId="1E32D820">
      <w:pPr>
        <w:pStyle w:val="136"/>
        <w:jc w:val="both"/>
      </w:pPr>
      <w:r>
        <w:rPr>
          <w:rFonts w:hint="eastAsia"/>
          <w:lang w:val="en-US" w:eastAsia="zh-CN"/>
        </w:rPr>
        <w:t>对于</w:t>
      </w:r>
      <w:r>
        <w:t>Baseline（基线）</w:t>
      </w:r>
      <w:r>
        <w:rPr>
          <w:rFonts w:hint="eastAsia"/>
          <w:lang w:eastAsia="zh-CN"/>
        </w:rPr>
        <w:t>，</w:t>
      </w:r>
      <w:r>
        <w:t>将`gsl_mode`置为`'baseline'`，把去噪与补全两个门控头都关掉，GSL模块此时退化为一个固定边权的图神经网络，边权重完全来自初始相似度，不再做任何自适应调整。这一变体相当于"什么图结构学习都不做"的对照组。</w:t>
      </w:r>
    </w:p>
    <w:p w14:paraId="4BBF5135">
      <w:pPr>
        <w:pStyle w:val="136"/>
        <w:jc w:val="both"/>
      </w:pPr>
      <w:r>
        <w:rPr>
          <w:rFonts w:hint="eastAsia"/>
          <w:lang w:val="en-US" w:eastAsia="zh-CN"/>
        </w:rPr>
        <w:t>对于</w:t>
      </w:r>
      <w:r>
        <w:t>Denoise-only（仅去噪）</w:t>
      </w:r>
      <w:r>
        <w:rPr>
          <w:rFonts w:hint="eastAsia"/>
          <w:lang w:eastAsia="zh-CN"/>
        </w:rPr>
        <w:t>，</w:t>
      </w:r>
      <w:r>
        <w:t>将`gsl_mode`置为`'denoise_only'`，只打开去噪门控头`denoise_head`，对原始子图里已经存在的边重新加权，把那些被认为不靠谱的边的传播权重压下来，但不会凭空往图里加新边。</w:t>
      </w:r>
    </w:p>
    <w:p w14:paraId="4494C0DE">
      <w:pPr>
        <w:pStyle w:val="136"/>
        <w:jc w:val="both"/>
      </w:pPr>
      <w:r>
        <w:rPr>
          <w:rFonts w:hint="eastAsia"/>
          <w:lang w:val="en-US" w:eastAsia="zh-CN"/>
        </w:rPr>
        <w:t>对于</w:t>
      </w:r>
      <w:r>
        <w:t>Completion-only（仅补全）</w:t>
      </w:r>
      <w:r>
        <w:rPr>
          <w:rFonts w:hint="eastAsia"/>
          <w:lang w:eastAsia="zh-CN"/>
        </w:rPr>
        <w:t>，</w:t>
      </w:r>
      <w:r>
        <w:t>将`gsl_mode`置为`'completion_only'`，只打开补全门控头`completion_head`，由它在候选完全图上挑出有潜力的新边并赋以权重；原图上已有的边则不再做重加权，保持原状。</w:t>
      </w:r>
    </w:p>
    <w:p w14:paraId="74A4781D">
      <w:pPr>
        <w:pStyle w:val="136"/>
        <w:jc w:val="both"/>
      </w:pPr>
      <w:r>
        <w:rPr>
          <w:rFonts w:hint="eastAsia"/>
          <w:lang w:val="en-US" w:eastAsia="zh-CN"/>
        </w:rPr>
        <w:t>对于</w:t>
      </w:r>
      <w:r>
        <w:t>Denoise+Completion（全功能）</w:t>
      </w:r>
      <w:r>
        <w:rPr>
          <w:rFonts w:hint="eastAsia"/>
          <w:lang w:eastAsia="zh-CN"/>
        </w:rPr>
        <w:t>，</w:t>
      </w:r>
      <w:r>
        <w:t>将`gsl_mode`置为`'full'`，同时启用去噪与补全两个门控头，等价于KnowDDI原始论文中的完整GSL模块，作为前三组结果的"上限对照"。</w:t>
      </w:r>
    </w:p>
    <w:p w14:paraId="7CC78520">
      <w:pPr>
        <w:pStyle w:val="136"/>
        <w:keepNext w:val="0"/>
        <w:keepLines w:val="0"/>
        <w:pageBreakBefore w:val="0"/>
        <w:widowControl w:val="0"/>
        <w:kinsoku/>
        <w:wordWrap/>
        <w:overflowPunct/>
        <w:topLinePunct w:val="0"/>
        <w:autoSpaceDE/>
        <w:autoSpaceDN/>
        <w:bidi w:val="0"/>
        <w:adjustRightInd w:val="0"/>
        <w:snapToGrid w:val="0"/>
        <w:textAlignment w:val="auto"/>
        <w:outlineLvl w:val="9"/>
      </w:pPr>
      <w:r>
        <w:t>通过上述四组变体的两两对比，可以分别量化去噪、补全各自的边际贡献以及二者联合使用时的协同或冲突情况，为后续逐数据集分析提供统一口径。</w:t>
      </w:r>
    </w:p>
    <w:p w14:paraId="6C2DB917">
      <w:pPr>
        <w:pStyle w:val="168"/>
        <w:bidi w:val="0"/>
        <w:rPr>
          <w:lang w:val="en-US"/>
        </w:rPr>
      </w:pPr>
      <w:bookmarkStart w:id="4" w:name="_Toc1446733458"/>
      <w:bookmarkEnd w:id="4"/>
      <w:r>
        <w:rPr>
          <w:color w:val="000000"/>
        </w:rPr>
        <w:t>4.2.3 实验控制条件</w:t>
      </w:r>
    </w:p>
    <w:p w14:paraId="6C2DB917">
      <w:pPr>
        <w:pStyle w:val="136"/>
        <w:bidi w:val="0"/>
        <w:rPr>
          <w:lang w:val="en-US"/>
        </w:rPr>
      </w:pPr>
      <w:bookmarkStart w:id="4" w:name="_Toc1446733458"/>
      <w:bookmarkEnd w:id="4"/>
      <w:r>
        <w:rPr>
          <w:color w:val="FF0000"/>
        </w:rPr>
        <w:t>其实把“去噪”和“补全”显式拆开来分析，和近年图学习里强调模块可解释、可归因的趋势是一致的，这样做可以更直接地看到每个操作的独立边际贡献[17]。</w:t>
      </w:r>
    </w:p>
    <w:p w14:paraId="3487FC61">
      <w:pPr>
        <w:pStyle w:val="136"/>
        <w:jc w:val="both"/>
      </w:pPr>
      <w:r>
        <w:t>为了让上述四组变体之间的差距确实来自GSL模块本身，而不是被超参或采样的随机性"冲淡"，本章在以下几个方面把实验条件锁死，保证对比的纯粹性</w:t>
      </w:r>
      <w:r>
        <w:rPr>
          <w:rFonts w:hint="eastAsia"/>
          <w:lang w:eastAsia="zh-CN"/>
        </w:rPr>
        <w:t>：</w:t>
      </w:r>
      <w:r>
        <w:rPr>
          <w:rFonts w:hint="eastAsia"/>
          <w:lang w:val="en-US" w:eastAsia="zh-CN"/>
        </w:rPr>
        <w:t>首先</w:t>
      </w:r>
      <w:r>
        <w:t>数据预处理流程与子图抽取策略保持一致，使各变体看到的输入子图分布相同</w:t>
      </w:r>
      <w:r>
        <w:rPr>
          <w:rFonts w:hint="eastAsia"/>
          <w:lang w:eastAsia="zh-CN"/>
        </w:rPr>
        <w:t>。</w:t>
      </w:r>
      <w:r>
        <w:rPr>
          <w:rFonts w:hint="eastAsia"/>
          <w:lang w:val="en-US" w:eastAsia="zh-CN"/>
        </w:rPr>
        <w:t>接着</w:t>
      </w:r>
      <w:r>
        <w:t>模型容量层面的超参数固定为`emb_dim=32`、`gsl_rel_emb_dim=8`、`MLP_hidden_dim=64`，避免因模型大小不同而产生干扰</w:t>
      </w:r>
      <w:r>
        <w:rPr>
          <w:rFonts w:hint="eastAsia"/>
          <w:lang w:eastAsia="zh-CN"/>
        </w:rPr>
        <w:t>。</w:t>
      </w:r>
      <w:r>
        <w:rPr>
          <w:rFonts w:hint="eastAsia"/>
          <w:lang w:val="en-US" w:eastAsia="zh-CN"/>
        </w:rPr>
        <w:t>在此基础上，</w:t>
      </w:r>
      <w:r>
        <w:t>训练设置统一为30个epoch、批大小64，优化器采用Adam（学习率0.001），评估时复用标准的train/valid/test划分</w:t>
      </w:r>
      <w:r>
        <w:rPr>
          <w:rFonts w:hint="eastAsia"/>
          <w:lang w:eastAsia="zh-CN"/>
        </w:rPr>
        <w:t>。</w:t>
      </w:r>
      <w:r>
        <w:rPr>
          <w:rFonts w:hint="eastAsia"/>
          <w:lang w:val="en-US" w:eastAsia="zh-CN"/>
        </w:rPr>
        <w:t>最后</w:t>
      </w:r>
      <w:r>
        <w:t>每组变体均在3个固定随机种子下重复运行，结果以均值±标准差的形式汇报，以缓解单次实验的波动影响。</w:t>
      </w:r>
    </w:p>
    <w:p w14:paraId="4EE6EB4E">
      <w:pPr>
        <w:pStyle w:val="167"/>
        <w:bidi w:val="0"/>
        <w:rPr>
          <w:lang w:val="en-US"/>
        </w:rPr>
      </w:pPr>
      <w:bookmarkStart w:id="15" w:name="_Toc1539935478"/>
      <w:commentRangeStart w:id="1"/>
      <w:bookmarkEnd w:id="15"/>
      <w:commentRangeEnd w:id="1"/>
      <w:r>
        <w:rPr>
          <w:color w:val="000000"/>
        </w:rPr>
        <w:t>4.3 轻量化方案设计</w:t>
      </w:r>
    </w:p>
    <w:p w14:paraId="0A459B4A">
      <w:pPr>
        <w:pStyle w:val="168"/>
        <w:bidi w:val="0"/>
        <w:rPr>
          <w:lang w:val="en-US"/>
        </w:rPr>
      </w:pPr>
      <w:bookmarkStart w:id="16" w:name="_Toc222665102"/>
      <w:bookmarkEnd w:id="16"/>
      <w:r>
        <w:rPr>
          <w:color w:val="000000"/>
        </w:rPr>
        <w:t>4.3.1 设计动机</w:t>
      </w:r>
    </w:p>
    <w:p w14:paraId="57EC7DB2">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尽管</w:t>
      </w:r>
      <w:r>
        <w:rPr>
          <w:rFonts w:hint="default"/>
          <w:lang w:val="en-US" w:eastAsia="zh-CN"/>
        </w:rPr>
        <w:t>KnowDDI</w:t>
      </w:r>
      <w:r>
        <w:rPr>
          <w:rFonts w:hint="eastAsia"/>
          <w:lang w:val="en-US" w:eastAsia="zh-CN"/>
        </w:rPr>
        <w:t>在</w:t>
      </w:r>
      <w:r>
        <w:rPr>
          <w:rFonts w:hint="default"/>
          <w:lang w:val="en-US" w:eastAsia="zh-CN"/>
        </w:rPr>
        <w:t>DDI</w:t>
      </w:r>
      <w:r>
        <w:rPr>
          <w:rFonts w:hint="eastAsia"/>
          <w:lang w:val="en-US" w:eastAsia="zh-CN"/>
        </w:rPr>
        <w:t>预测精度上取得了良好表现，但其较大的模型参数量与推理开销限制了其在资源受限医疗设备上的部署。具体而言，基线模型在</w:t>
      </w:r>
      <w:r>
        <w:rPr>
          <w:rFonts w:hint="default"/>
          <w:lang w:val="en-US" w:eastAsia="zh-CN"/>
        </w:rPr>
        <w:t>DrugBank</w:t>
      </w:r>
      <w:r>
        <w:rPr>
          <w:rFonts w:hint="eastAsia"/>
          <w:lang w:val="en-US" w:eastAsia="zh-CN"/>
        </w:rPr>
        <w:t>上的推理总时长约为</w:t>
      </w:r>
      <w:r>
        <w:rPr>
          <w:rFonts w:hint="default"/>
          <w:lang w:val="en-US" w:eastAsia="zh-CN"/>
        </w:rPr>
        <w:t>3m58s</w:t>
      </w:r>
      <w:r>
        <w:rPr>
          <w:rFonts w:hint="eastAsia"/>
          <w:lang w:val="en-US" w:eastAsia="zh-CN"/>
        </w:rPr>
        <w:t>，</w:t>
      </w:r>
      <w:r>
        <w:rPr>
          <w:rFonts w:hint="default"/>
          <w:lang w:val="en-US" w:eastAsia="zh-CN"/>
        </w:rPr>
        <w:t>GPU</w:t>
      </w:r>
      <w:r>
        <w:rPr>
          <w:rFonts w:hint="eastAsia"/>
          <w:lang w:val="en-US" w:eastAsia="zh-CN"/>
        </w:rPr>
        <w:t>显存峰值为</w:t>
      </w:r>
      <w:r>
        <w:rPr>
          <w:rFonts w:hint="default"/>
          <w:lang w:val="en-US" w:eastAsia="zh-CN"/>
        </w:rPr>
        <w:t>1667 MiB</w:t>
      </w:r>
      <w:r>
        <w:rPr>
          <w:rFonts w:hint="eastAsia"/>
          <w:lang w:val="en-US" w:eastAsia="zh-CN"/>
        </w:rPr>
        <w:t>；在</w:t>
      </w:r>
      <w:r>
        <w:rPr>
          <w:rFonts w:hint="default"/>
          <w:lang w:val="en-US" w:eastAsia="zh-CN"/>
        </w:rPr>
        <w:t>TWOSIDES</w:t>
      </w:r>
      <w:r>
        <w:rPr>
          <w:rFonts w:hint="eastAsia"/>
          <w:lang w:val="en-US" w:eastAsia="zh-CN"/>
        </w:rPr>
        <w:t>上推理总时长约为</w:t>
      </w:r>
      <w:r>
        <w:rPr>
          <w:rFonts w:hint="default"/>
          <w:lang w:val="en-US" w:eastAsia="zh-CN"/>
        </w:rPr>
        <w:t>6m13s</w:t>
      </w:r>
      <w:r>
        <w:rPr>
          <w:rFonts w:hint="eastAsia"/>
          <w:lang w:val="en-US" w:eastAsia="zh-CN"/>
        </w:rPr>
        <w:t>，</w:t>
      </w:r>
      <w:r>
        <w:rPr>
          <w:rFonts w:hint="default"/>
          <w:lang w:val="en-US" w:eastAsia="zh-CN"/>
        </w:rPr>
        <w:t>GPU</w:t>
      </w:r>
      <w:r>
        <w:rPr>
          <w:rFonts w:hint="eastAsia"/>
          <w:lang w:val="en-US" w:eastAsia="zh-CN"/>
        </w:rPr>
        <w:t>显存峰值为</w:t>
      </w:r>
      <w:r>
        <w:rPr>
          <w:rFonts w:hint="default"/>
          <w:lang w:val="en-US" w:eastAsia="zh-CN"/>
        </w:rPr>
        <w:t>911 MiB</w:t>
      </w:r>
      <w:r>
        <w:rPr>
          <w:rFonts w:hint="eastAsia"/>
          <w:lang w:val="en-US" w:eastAsia="zh-CN"/>
        </w:rPr>
        <w:t>。在医疗边缘端场景（如便携式医疗终端、院内实时警报系统）中，上述开销仍难以满足低延迟、低功耗的部署需求。</w:t>
      </w:r>
    </w:p>
    <w:p w14:paraId="012A5D6F">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本章基于</w:t>
      </w:r>
      <w:r>
        <w:rPr>
          <w:rFonts w:hint="default"/>
          <w:lang w:val="en-US" w:eastAsia="zh-CN"/>
        </w:rPr>
        <w:t>"</w:t>
      </w:r>
      <w:r>
        <w:rPr>
          <w:rFonts w:hint="eastAsia"/>
          <w:lang w:val="en-US" w:eastAsia="zh-CN"/>
        </w:rPr>
        <w:t>拓扑</w:t>
      </w:r>
      <w:r>
        <w:rPr>
          <w:rFonts w:hint="default"/>
          <w:lang w:val="en-US" w:eastAsia="zh-CN"/>
        </w:rPr>
        <w:t>-</w:t>
      </w:r>
      <w:r>
        <w:rPr>
          <w:rFonts w:hint="eastAsia"/>
          <w:lang w:val="en-US" w:eastAsia="zh-CN"/>
        </w:rPr>
        <w:t>参数</w:t>
      </w:r>
      <w:r>
        <w:rPr>
          <w:rFonts w:hint="default"/>
          <w:lang w:val="en-US" w:eastAsia="zh-CN"/>
        </w:rPr>
        <w:t>"</w:t>
      </w:r>
      <w:r>
        <w:rPr>
          <w:rFonts w:hint="eastAsia"/>
          <w:lang w:val="en-US" w:eastAsia="zh-CN"/>
        </w:rPr>
        <w:t>协同压缩思路，提出并评估以下三类轻量化方案：</w:t>
      </w:r>
    </w:p>
    <w:p w14:paraId="394C3815">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方案A：仅子图稀疏采样（</w:t>
      </w:r>
      <w:r>
        <w:rPr>
          <w:rFonts w:hint="default"/>
          <w:lang w:val="en-US" w:eastAsia="zh-CN"/>
        </w:rPr>
        <w:t>Sparse-only</w:t>
      </w:r>
      <w:r>
        <w:rPr>
          <w:rFonts w:hint="eastAsia"/>
          <w:lang w:val="en-US" w:eastAsia="zh-CN"/>
        </w:rPr>
        <w:t>）</w:t>
      </w:r>
    </w:p>
    <w:p w14:paraId="68281A6E">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方案B：仅多维特征压缩（</w:t>
      </w:r>
      <w:r>
        <w:rPr>
          <w:rFonts w:hint="default"/>
          <w:lang w:val="en-US" w:eastAsia="zh-CN"/>
        </w:rPr>
        <w:t>Feature-only</w:t>
      </w:r>
      <w:r>
        <w:rPr>
          <w:rFonts w:hint="eastAsia"/>
          <w:lang w:val="en-US" w:eastAsia="zh-CN"/>
        </w:rPr>
        <w:t>）</w:t>
      </w:r>
    </w:p>
    <w:p w14:paraId="1CEFAF3A">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方案C：协同优化（</w:t>
      </w:r>
      <w:r>
        <w:rPr>
          <w:rFonts w:hint="default"/>
          <w:lang w:val="en-US" w:eastAsia="zh-CN"/>
        </w:rPr>
        <w:t>Sparse + Feature</w:t>
      </w:r>
      <w:r>
        <w:rPr>
          <w:rFonts w:hint="eastAsia"/>
          <w:lang w:val="en-US" w:eastAsia="zh-CN"/>
        </w:rPr>
        <w:t>）</w:t>
      </w:r>
    </w:p>
    <w:p w14:paraId="35614D27">
      <w:pPr>
        <w:pStyle w:val="168"/>
        <w:bidi w:val="0"/>
        <w:rPr>
          <w:lang w:val="en-US"/>
        </w:rPr>
      </w:pPr>
      <w:bookmarkStart w:id="17" w:name="_Toc1415856240"/>
      <w:bookmarkEnd w:id="17"/>
      <w:r>
        <w:rPr>
          <w:color w:val="000000"/>
        </w:rPr>
        <w:t>4.3.2 子图稀疏采样策略</w:t>
      </w:r>
    </w:p>
    <w:p w14:paraId="2A85B43D">
      <w:pPr>
        <w:pStyle w:val="170"/>
        <w:keepNext w:val="0"/>
        <w:keepLines w:val="0"/>
        <w:pageBreakBefore w:val="0"/>
        <w:widowControl w:val="0"/>
        <w:kinsoku/>
        <w:wordWrap/>
        <w:overflowPunct/>
        <w:topLinePunct w:val="0"/>
        <w:autoSpaceDE/>
        <w:autoSpaceDN/>
        <w:bidi w:val="0"/>
        <w:adjustRightInd w:val="0"/>
        <w:snapToGrid w:val="0"/>
        <w:ind w:firstLine="0" w:firstLineChars="0"/>
        <w:textAlignment w:val="auto"/>
        <w:outlineLvl w:val="9"/>
        <w:rPr>
          <w:lang w:val="en-US"/>
        </w:rPr>
      </w:pPr>
      <w:r>
        <w:rPr>
          <w:rFonts w:hint="eastAsia"/>
          <w:lang w:val="en-US" w:eastAsia="zh-CN"/>
        </w:rPr>
        <w:t>子图稀疏采样通过控制子图提取阶段的规模参数，从输入层面减少图传播的拓扑复杂度。核心调控参数为：</w:t>
      </w:r>
      <w:r>
        <w:rPr>
          <w:rFonts w:hint="default"/>
          <w:lang w:val="en-US" w:eastAsia="zh-CN"/>
        </w:rPr>
        <w:t>max_nodes_per_hop</w:t>
      </w:r>
      <w:r>
        <w:rPr>
          <w:rFonts w:hint="eastAsia"/>
          <w:lang w:val="en-US" w:eastAsia="zh-CN"/>
        </w:rPr>
        <w:t>，每跳最大保留节点数。通过降低该参数，可以直接减小局部子图的节点规模，降低图传播的计算量。</w:t>
      </w:r>
      <w:r>
        <w:rPr>
          <w:rFonts w:hint="default"/>
          <w:lang w:val="en-US" w:eastAsia="zh-CN"/>
        </w:rPr>
        <w:t>max_links</w:t>
      </w:r>
      <w:r>
        <w:rPr>
          <w:rFonts w:hint="eastAsia"/>
          <w:lang w:val="en-US" w:eastAsia="zh-CN"/>
        </w:rPr>
        <w:t>，批内最大候选边数。通过降低该参数，可以减少图结构学习模块中候选边的数量，降低边权重学习的计算开销。</w:t>
      </w:r>
    </w:p>
    <w:p w14:paraId="559B84A3">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本章采用相对于基线的</w:t>
      </w:r>
      <w:r>
        <w:rPr>
          <w:rFonts w:hint="default"/>
          <w:lang w:val="en-US" w:eastAsia="zh-CN"/>
        </w:rPr>
        <w:t>"</w:t>
      </w:r>
      <w:r>
        <w:rPr>
          <w:rFonts w:hint="eastAsia"/>
          <w:lang w:val="en-US" w:eastAsia="zh-CN"/>
        </w:rPr>
        <w:t>子图保留比例</w:t>
      </w:r>
      <w:r>
        <w:rPr>
          <w:rFonts w:hint="default"/>
          <w:lang w:val="en-US" w:eastAsia="zh-CN"/>
        </w:rPr>
        <w:t>"</w:t>
      </w:r>
      <w:r>
        <w:rPr>
          <w:rFonts w:hint="eastAsia"/>
          <w:lang w:val="en-US" w:eastAsia="zh-CN"/>
        </w:rPr>
        <w:t>（</w:t>
      </w:r>
      <w:r>
        <w:rPr>
          <w:rFonts w:hint="default"/>
          <w:lang w:val="en-US" w:eastAsia="zh-CN"/>
        </w:rPr>
        <w:t>60%</w:t>
      </w:r>
      <w:r>
        <w:rPr>
          <w:rFonts w:hint="eastAsia"/>
          <w:lang w:val="en-US" w:eastAsia="zh-CN"/>
        </w:rPr>
        <w:t>）作为稀疏采样强度的统一描述，对应将</w:t>
      </w:r>
      <w:r>
        <w:rPr>
          <w:rFonts w:hint="default"/>
          <w:lang w:val="en-US" w:eastAsia="zh-CN"/>
        </w:rPr>
        <w:t>max_nodes_per_hop</w:t>
      </w:r>
      <w:r>
        <w:rPr>
          <w:rFonts w:hint="eastAsia"/>
          <w:lang w:val="en-US" w:eastAsia="zh-CN"/>
        </w:rPr>
        <w:t>从原始值按比例调减。</w:t>
      </w:r>
    </w:p>
    <w:p w14:paraId="4F54CBCC">
      <w:pPr>
        <w:pStyle w:val="168"/>
        <w:bidi w:val="0"/>
        <w:rPr>
          <w:lang w:val="en-US"/>
        </w:rPr>
      </w:pPr>
      <w:bookmarkStart w:id="18" w:name="_Toc29533273"/>
      <w:bookmarkEnd w:id="18"/>
      <w:r>
        <w:rPr>
          <w:color w:val="000000"/>
        </w:rPr>
        <w:t>4.3.3 多维特征压缩策略</w:t>
      </w:r>
    </w:p>
    <w:p w14:paraId="7D2FD9D5">
      <w:pPr>
        <w:pStyle w:val="170"/>
        <w:keepNext w:val="0"/>
        <w:keepLines w:val="0"/>
        <w:pageBreakBefore w:val="0"/>
        <w:widowControl w:val="0"/>
        <w:kinsoku/>
        <w:wordWrap/>
        <w:overflowPunct/>
        <w:topLinePunct w:val="0"/>
        <w:autoSpaceDE/>
        <w:autoSpaceDN/>
        <w:bidi w:val="0"/>
        <w:adjustRightInd w:val="0"/>
        <w:snapToGrid w:val="0"/>
        <w:ind w:firstLine="0" w:firstLineChars="0"/>
        <w:textAlignment w:val="auto"/>
        <w:outlineLvl w:val="9"/>
        <w:rPr>
          <w:lang w:val="en-US"/>
        </w:rPr>
      </w:pPr>
      <w:r>
        <w:rPr>
          <w:rFonts w:hint="eastAsia"/>
          <w:lang w:val="en-US" w:eastAsia="zh-CN"/>
        </w:rPr>
        <w:t>多维特征压缩通过同比例减小各关键维度参数，在不改变模型整体结构的前提下降低参数量和中间激活的内存占用。核心调控参数为：</w:t>
      </w:r>
      <w:r>
        <w:rPr>
          <w:rFonts w:hint="default"/>
          <w:lang w:val="en-US" w:eastAsia="zh-CN"/>
        </w:rPr>
        <w:t>emb_dim</w:t>
      </w:r>
      <w:r>
        <w:rPr>
          <w:rFonts w:hint="eastAsia"/>
          <w:lang w:val="en-US" w:eastAsia="zh-CN"/>
        </w:rPr>
        <w:t>，节点嵌入维度（基线值：</w:t>
      </w:r>
      <w:r>
        <w:rPr>
          <w:rFonts w:hint="default"/>
          <w:lang w:val="en-US" w:eastAsia="zh-CN"/>
        </w:rPr>
        <w:t>32</w:t>
      </w:r>
      <w:r>
        <w:rPr>
          <w:rFonts w:hint="eastAsia"/>
          <w:lang w:val="en-US" w:eastAsia="zh-CN"/>
        </w:rPr>
        <w:t>，压缩后：</w:t>
      </w:r>
      <w:r>
        <w:rPr>
          <w:rFonts w:hint="default"/>
          <w:lang w:val="en-US" w:eastAsia="zh-CN"/>
        </w:rPr>
        <w:t>16</w:t>
      </w:r>
      <w:r>
        <w:rPr>
          <w:rFonts w:hint="eastAsia"/>
          <w:lang w:val="en-US" w:eastAsia="zh-CN"/>
        </w:rPr>
        <w:t>）。</w:t>
      </w:r>
      <w:r>
        <w:rPr>
          <w:rFonts w:hint="default"/>
          <w:lang w:val="en-US" w:eastAsia="zh-CN"/>
        </w:rPr>
        <w:t>gsl_rel_emb_dim</w:t>
      </w:r>
      <w:r>
        <w:rPr>
          <w:rFonts w:hint="eastAsia"/>
          <w:lang w:val="en-US" w:eastAsia="zh-CN"/>
        </w:rPr>
        <w:t>，</w:t>
      </w:r>
      <w:r>
        <w:rPr>
          <w:rFonts w:hint="default"/>
          <w:lang w:val="en-US" w:eastAsia="zh-CN"/>
        </w:rPr>
        <w:t>GSL</w:t>
      </w:r>
      <w:r>
        <w:rPr>
          <w:rFonts w:hint="eastAsia"/>
          <w:lang w:val="en-US" w:eastAsia="zh-CN"/>
        </w:rPr>
        <w:t>模块关系嵌入维度（基线值：</w:t>
      </w:r>
      <w:r>
        <w:rPr>
          <w:rFonts w:hint="default"/>
          <w:lang w:val="en-US" w:eastAsia="zh-CN"/>
        </w:rPr>
        <w:t>8</w:t>
      </w:r>
      <w:r>
        <w:rPr>
          <w:rFonts w:hint="eastAsia"/>
          <w:lang w:val="en-US" w:eastAsia="zh-CN"/>
        </w:rPr>
        <w:t>，压缩后：</w:t>
      </w:r>
      <w:r>
        <w:rPr>
          <w:rFonts w:hint="default"/>
          <w:lang w:val="en-US" w:eastAsia="zh-CN"/>
        </w:rPr>
        <w:t>4</w:t>
      </w:r>
      <w:r>
        <w:rPr>
          <w:rFonts w:hint="eastAsia"/>
          <w:lang w:val="en-US" w:eastAsia="zh-CN"/>
        </w:rPr>
        <w:t>）。</w:t>
      </w:r>
      <w:r>
        <w:rPr>
          <w:rFonts w:hint="default"/>
          <w:lang w:val="en-US" w:eastAsia="zh-CN"/>
        </w:rPr>
        <w:t>MLP_hidden_dim</w:t>
      </w:r>
      <w:r>
        <w:rPr>
          <w:rFonts w:hint="eastAsia"/>
          <w:lang w:val="en-US" w:eastAsia="zh-CN"/>
        </w:rPr>
        <w:t>，边权重学习</w:t>
      </w:r>
      <w:r>
        <w:rPr>
          <w:rFonts w:hint="default"/>
          <w:lang w:val="en-US" w:eastAsia="zh-CN"/>
        </w:rPr>
        <w:t>MLP</w:t>
      </w:r>
      <w:r>
        <w:rPr>
          <w:rFonts w:hint="eastAsia"/>
          <w:lang w:val="en-US" w:eastAsia="zh-CN"/>
        </w:rPr>
        <w:t>隐层维度（基线值：</w:t>
      </w:r>
      <w:r>
        <w:rPr>
          <w:rFonts w:hint="default"/>
          <w:lang w:val="en-US" w:eastAsia="zh-CN"/>
        </w:rPr>
        <w:t>64</w:t>
      </w:r>
      <w:r>
        <w:rPr>
          <w:rFonts w:hint="eastAsia"/>
          <w:lang w:val="en-US" w:eastAsia="zh-CN"/>
        </w:rPr>
        <w:t>，压缩后：</w:t>
      </w:r>
      <w:r>
        <w:rPr>
          <w:rFonts w:hint="default"/>
          <w:lang w:val="en-US" w:eastAsia="zh-CN"/>
        </w:rPr>
        <w:t>32</w:t>
      </w:r>
      <w:r>
        <w:rPr>
          <w:rFonts w:hint="eastAsia"/>
          <w:lang w:val="en-US" w:eastAsia="zh-CN"/>
        </w:rPr>
        <w:t>）。</w:t>
      </w:r>
    </w:p>
    <w:p w14:paraId="54C82C1C">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三个维度统一采用</w:t>
      </w:r>
      <w:r>
        <w:rPr>
          <w:rFonts w:hint="default"/>
          <w:lang w:val="en-US" w:eastAsia="zh-CN"/>
        </w:rPr>
        <w:t>50%</w:t>
      </w:r>
      <w:r>
        <w:rPr>
          <w:rFonts w:hint="eastAsia"/>
          <w:lang w:val="en-US" w:eastAsia="zh-CN"/>
        </w:rPr>
        <w:t>的压缩比例（特征保留比例</w:t>
      </w:r>
      <w:r>
        <w:rPr>
          <w:rFonts w:hint="default"/>
          <w:lang w:val="en-US" w:eastAsia="zh-CN"/>
        </w:rPr>
        <w:t>50%</w:t>
      </w:r>
      <w:r>
        <w:rPr>
          <w:rFonts w:hint="eastAsia"/>
          <w:lang w:val="en-US" w:eastAsia="zh-CN"/>
        </w:rPr>
        <w:t>），以保证实验解释性。</w:t>
      </w:r>
    </w:p>
    <w:p w14:paraId="13E5E4B5">
      <w:pPr>
        <w:pStyle w:val="168"/>
        <w:bidi w:val="0"/>
        <w:rPr>
          <w:lang w:val="en-US"/>
        </w:rPr>
      </w:pPr>
      <w:bookmarkStart w:id="19" w:name="_Toc296996854"/>
      <w:bookmarkEnd w:id="19"/>
      <w:r>
        <w:rPr>
          <w:color w:val="000000"/>
        </w:rPr>
        <w:t>4.3.4 协同优化策略</w:t>
      </w:r>
    </w:p>
    <w:p w14:paraId="7B546C9A">
      <w:pPr>
        <w:pStyle w:val="170"/>
        <w:bidi w:val="0"/>
        <w:rPr>
          <w:lang w:val="en-US"/>
        </w:rPr>
      </w:pPr>
      <w:r>
        <w:rPr>
          <w:rFonts w:hint="eastAsia"/>
          <w:lang w:val="en-US" w:eastAsia="zh-CN"/>
        </w:rPr>
        <w:t>协同优化同时应用子图稀疏采样（</w:t>
      </w:r>
      <w:r>
        <w:rPr>
          <w:rFonts w:hint="default"/>
          <w:lang w:val="en-US" w:eastAsia="zh-CN"/>
        </w:rPr>
        <w:t>60%</w:t>
      </w:r>
      <w:r>
        <w:rPr>
          <w:rFonts w:hint="eastAsia"/>
          <w:lang w:val="en-US" w:eastAsia="zh-CN"/>
        </w:rPr>
        <w:t>保留）与多维特征压缩（</w:t>
      </w:r>
      <w:r>
        <w:rPr>
          <w:rFonts w:hint="default"/>
          <w:lang w:val="en-US" w:eastAsia="zh-CN"/>
        </w:rPr>
        <w:t>50%</w:t>
      </w:r>
      <w:r>
        <w:rPr>
          <w:rFonts w:hint="eastAsia"/>
          <w:lang w:val="en-US" w:eastAsia="zh-CN"/>
        </w:rPr>
        <w:t>保留），期望通过两类正交压缩手段的协同作用，在单一方案之上获得进一步的资源节省，同时维持可接受的精度损失。</w:t>
      </w:r>
    </w:p>
    <w:p>
      <w:pPr>
        <w:pStyle w:val="167"/>
      </w:pPr>
      <w:r>
        <w:rPr>
          <w:color w:val="000000"/>
        </w:rPr>
        <w:t>4.4 本章小结</w:t>
      </w:r>
    </w:p>
    <w:p>
      <w:pPr>
        <w:pStyle w:val="136"/>
      </w:pPr>
      <w:r>
        <w:rPr>
          <w:color w:val="000000"/>
        </w:rPr>
        <w:t>本章是后续实验的方法基础，主要做了三件事：4.1节梳理了KnowDDI的整体框架与GSL模块的内部结构，介绍了DrugBank、TWOSIDES两个数据集与实验环境，并按原论文协议完成基线复现，与原文报告值的偏差均控制在合理范围内，作为后续所有对比实验的统一基准；4.2节针对GSL中"去噪"与"补全"两类机制设计了系统的消融方案，通过新增--gsl_mode等入口参数把两类操作单独拎出来，构造了baseline、仅去噪、仅补全、去噪+补全四组受控变体，并锁定数据预处理、模型容量与训练设置以保证对比的纯粹性；4.3节面向医疗边缘部署需求，从"拓扑—参数"两条线出发，提出仅子图稀疏采样、仅多维特征压缩以及二者协同共三类轻量化方案，并约定了60%子图保留比例与50%特征保留比例两个统一描述参数。本章的方案设计为第五章的消融实验与轻量化评测提供了可直接落地的实施依据。</w:t>
      </w:r>
    </w:p>
    <w:p w14:paraId="2ADC3FCA">
      <w:pPr>
        <w:pStyle w:val="136"/>
        <w:keepNext w:val="0"/>
        <w:keepLines w:val="0"/>
        <w:pageBreakBefore w:val="0"/>
        <w:widowControl w:val="0"/>
        <w:kinsoku/>
        <w:wordWrap/>
        <w:overflowPunct/>
        <w:topLinePunct w:val="0"/>
        <w:autoSpaceDE/>
        <w:autoSpaceDN/>
        <w:bidi w:val="0"/>
        <w:adjustRightInd w:val="0"/>
        <w:snapToGrid w:val="0"/>
        <w:textAlignment w:val="auto"/>
        <w:outlineLvl w:val="9"/>
        <w:sectPr>
          <w:headerReference r:id="rId7" w:type="default"/>
          <w:pgSz w:w="11906" w:h="16838"/>
          <w:pgMar w:top="1440" w:right="1800" w:bottom="1440" w:left="1800" w:header="851" w:footer="992" w:gutter="0"/>
          <w:cols w:space="425" w:num="1"/>
          <w:docGrid w:type="lines" w:linePitch="312" w:charSpace="0"/>
        </w:sectPr>
      </w:pPr>
    </w:p>
    <w:p w14:paraId="55558231">
      <w:pPr>
        <w:pStyle w:val="166"/>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lang w:val="en-US"/>
        </w:rPr>
      </w:pPr>
      <w:bookmarkStart w:id="14" w:name="_Toc1100601927"/>
      <w:bookmarkEnd w:id="14"/>
      <w:r>
        <w:rPr>
          <w:color w:val="000000"/>
        </w:rPr>
        <w:t>第5章  实验结果及分析</w:t>
      </w:r>
    </w:p>
    <w:p w14:paraId="0CBBBE0C">
      <w:pPr>
        <w:pStyle w:val="167"/>
        <w:bidi w:val="0"/>
        <w:rPr>
          <w:lang w:val="en-US"/>
        </w:rPr>
      </w:pPr>
      <w:bookmarkStart w:id="5" w:name="_Toc1439377272"/>
      <w:bookmarkEnd w:id="5"/>
      <w:r>
        <w:rPr>
          <w:color w:val="000000"/>
        </w:rPr>
        <w:t>5.1 DrugBank消融实验结果与分析</w:t>
      </w:r>
    </w:p>
    <w:p w14:paraId="4B74C4C6">
      <w:pPr>
        <w:pStyle w:val="168"/>
        <w:bidi w:val="0"/>
        <w:rPr>
          <w:lang w:val="en-US"/>
        </w:rPr>
      </w:pPr>
      <w:bookmarkStart w:id="6" w:name="_Toc210527049"/>
      <w:bookmarkEnd w:id="6"/>
      <w:r>
        <w:rPr>
          <w:color w:val="000000"/>
        </w:rPr>
        <w:t>5.1.1 DrugBank消融实验结果</w:t>
      </w:r>
    </w:p>
    <w:p w14:paraId="6AD38452">
      <w:pPr>
        <w:pStyle w:val="169"/>
        <w:keepNext w:val="0"/>
        <w:keepLines w:val="0"/>
        <w:pageBreakBefore w:val="0"/>
        <w:kinsoku/>
        <w:wordWrap/>
        <w:overflowPunct/>
        <w:topLinePunct w:val="0"/>
        <w:autoSpaceDE/>
        <w:autoSpaceDN/>
        <w:bidi w:val="0"/>
        <w:adjustRightInd/>
        <w:snapToGrid/>
        <w:textAlignment w:val="auto"/>
        <w:rPr>
          <w:lang w:val="en-US"/>
        </w:rPr>
      </w:pPr>
      <w:r>
        <w:rPr>
          <w:color w:val="000000"/>
        </w:rPr>
        <w:t>表5.1 DrugBank消融实验结果（均值±标准差，%）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85"/>
        <w:gridCol w:w="2115"/>
        <w:gridCol w:w="2103"/>
        <w:gridCol w:w="2119"/>
      </w:tblGrid>
      <w:tr w14:paraId="30BA1B93">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19B260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eastAsia" w:ascii="Times New Roman" w:hAnsi="Times New Roman" w:eastAsia="宋体" w:cs="宋体"/>
                <w:b/>
                <w:bCs w:val="0"/>
                <w:color w:val="000000"/>
                <w:kern w:val="0"/>
                <w:sz w:val="21"/>
                <w:szCs w:val="22"/>
                <w:lang w:val="en-US" w:eastAsia="zh-CN" w:bidi="ar"/>
              </w:rPr>
              <w:t>模型变体</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2F9D41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b/>
                <w:bCs w:val="0"/>
                <w:color w:val="000000"/>
                <w:kern w:val="0"/>
                <w:sz w:val="21"/>
                <w:szCs w:val="22"/>
                <w:lang w:val="en-US" w:eastAsia="zh-CN" w:bidi="ar"/>
              </w:rPr>
              <w:t>Macro-F1</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71FE0D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b/>
                <w:bCs w:val="0"/>
                <w:color w:val="000000"/>
                <w:kern w:val="0"/>
                <w:sz w:val="21"/>
                <w:szCs w:val="22"/>
                <w:lang w:val="en-US" w:eastAsia="zh-CN" w:bidi="ar"/>
              </w:rPr>
              <w:t>ACC</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6C3DB0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b/>
                <w:bCs w:val="0"/>
                <w:color w:val="000000"/>
                <w:kern w:val="0"/>
                <w:sz w:val="21"/>
                <w:szCs w:val="22"/>
                <w:lang w:val="en-US" w:eastAsia="zh-CN" w:bidi="ar"/>
              </w:rPr>
              <w:t>Cohen's κ</w:t>
            </w:r>
          </w:p>
        </w:tc>
      </w:tr>
      <w:tr w14:paraId="24EE116E">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6DC953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Baseline</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655B3D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91.49 ± 0.11</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740758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92.86 ± 0.09</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324260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91.53 ± 0.08</w:t>
            </w:r>
          </w:p>
        </w:tc>
      </w:tr>
      <w:tr w14:paraId="56A7F65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2A9CCB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Denoise-only</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66246E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91.52 ± 0.09</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7CAA89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92.66 ± 0.07</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4E7133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91.31 ± 0.23</w:t>
            </w:r>
          </w:p>
        </w:tc>
      </w:tr>
      <w:tr w14:paraId="2D7BAB48">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7201C3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Completion-only</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1C96D5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90.00 ± 0.11</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627015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92.89 ± 0.04</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5C5622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91.57 ± 0.10</w:t>
            </w:r>
          </w:p>
        </w:tc>
      </w:tr>
      <w:tr w14:paraId="0591763D">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352426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Denoise+Completion</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20A502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90.78 ± 0.13</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06B15A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92.99 ± 0.05</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6041FE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91.68 ± 0.08</w:t>
            </w:r>
          </w:p>
        </w:tc>
      </w:tr>
    </w:tbl>
    <w:p w14:paraId="75708157">
      <w:pPr>
        <w:pStyle w:val="168"/>
        <w:keepNext w:val="0"/>
        <w:keepLines w:val="0"/>
        <w:pageBreakBefore w:val="0"/>
        <w:widowControl w:val="0"/>
        <w:kinsoku/>
        <w:wordWrap/>
        <w:overflowPunct/>
        <w:topLinePunct w:val="0"/>
        <w:autoSpaceDE/>
        <w:autoSpaceDN/>
        <w:bidi w:val="0"/>
        <w:adjustRightInd/>
        <w:snapToGrid/>
        <w:textAlignment w:val="auto"/>
        <w:outlineLvl w:val="9"/>
        <w:rPr>
          <w:rFonts w:hint="default"/>
          <w:lang w:val="en-US" w:eastAsia="zh-CN"/>
        </w:rPr>
      </w:pPr>
      <w:r>
        <w:rPr>
          <w:rFonts w:hint="default"/>
          <w:lang w:val="en-US" w:eastAsia="zh-CN"/>
        </w:rPr>
        <w:drawing>
          <wp:inline distT="0" distB="0" distL="114300" distR="114300">
            <wp:extent cx="5270500" cy="2693670"/>
            <wp:effectExtent l="0" t="0" r="12700" b="24130"/>
            <wp:docPr id="6" name="图片 6" descr="fig4-1_drugbank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4-1_drugbank_ablation"/>
                    <pic:cNvPicPr>
                      <a:picLocks noChangeAspect="1"/>
                    </pic:cNvPicPr>
                  </pic:nvPicPr>
                  <pic:blipFill>
                    <a:blip r:embed="rId9"/>
                    <a:srcRect t="6337"/>
                    <a:stretch>
                      <a:fillRect/>
                    </a:stretch>
                  </pic:blipFill>
                  <pic:spPr>
                    <a:xfrm>
                      <a:off x="0" y="0"/>
                      <a:ext cx="5270500" cy="2693670"/>
                    </a:xfrm>
                    <a:prstGeom prst="rect">
                      <a:avLst/>
                    </a:prstGeom>
                  </pic:spPr>
                </pic:pic>
              </a:graphicData>
            </a:graphic>
          </wp:inline>
        </w:drawing>
      </w:r>
    </w:p>
    <w:p w14:paraId="7CB8C657">
      <w:pPr>
        <w:pStyle w:val="169"/>
        <w:keepNext w:val="0"/>
        <w:keepLines w:val="0"/>
        <w:pageBreakBefore w:val="0"/>
        <w:kinsoku/>
        <w:wordWrap/>
        <w:overflowPunct/>
        <w:topLinePunct w:val="0"/>
        <w:autoSpaceDE/>
        <w:autoSpaceDN/>
        <w:bidi w:val="0"/>
        <w:adjustRightInd/>
        <w:snapToGrid/>
        <w:textAlignment w:val="auto"/>
        <w:rPr>
          <w:rFonts w:hint="default"/>
          <w:lang w:val="en-US" w:eastAsia="zh-CN"/>
        </w:rPr>
      </w:pPr>
      <w:r>
        <w:rPr>
          <w:color w:val="000000"/>
        </w:rPr>
        <w:t>图5.1 DrugBank消融实验各指标对比柱状图</w:t>
      </w:r>
    </w:p>
    <w:p w14:paraId="47A88531">
      <w:pPr>
        <w:pStyle w:val="168"/>
        <w:bidi w:val="0"/>
        <w:rPr>
          <w:lang w:val="en-US"/>
        </w:rPr>
      </w:pPr>
      <w:bookmarkStart w:id="7" w:name="_Toc1422545934"/>
      <w:bookmarkEnd w:id="7"/>
      <w:r>
        <w:rPr>
          <w:color w:val="000000"/>
        </w:rPr>
        <w:t>5.1.2 DrugBank消融实验分析</w:t>
      </w:r>
    </w:p>
    <w:p w14:paraId="42E49D2A">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t>从表</w:t>
      </w:r>
      <w:r>
        <w:rPr>
          <w:color w:val="000000"/>
        </w:rPr>
        <w:t>5.1和图5</w:t>
      </w:r>
      <w:r>
        <w:t>.1可以观察到以下规律：</w:t>
      </w:r>
    </w:p>
    <w:p w14:paraId="412BE3E5">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default"/>
          <w:lang w:val="en-US" w:eastAsia="zh-CN"/>
        </w:rPr>
        <w:t>Denoise-only</w:t>
      </w:r>
      <w:r>
        <w:rPr>
          <w:rFonts w:hint="eastAsia"/>
          <w:lang w:val="en-US" w:eastAsia="zh-CN"/>
        </w:rPr>
        <w:t>模型取得了四组变体中最高的</w:t>
      </w:r>
      <w:r>
        <w:rPr>
          <w:rFonts w:hint="default"/>
          <w:lang w:val="en-US" w:eastAsia="zh-CN"/>
        </w:rPr>
        <w:t>Macro-F1</w:t>
      </w:r>
      <w:r>
        <w:rPr>
          <w:rFonts w:hint="eastAsia"/>
          <w:lang w:val="en-US" w:eastAsia="zh-CN"/>
        </w:rPr>
        <w:t>（</w:t>
      </w:r>
      <w:r>
        <w:rPr>
          <w:rFonts w:hint="default"/>
          <w:lang w:val="en-US" w:eastAsia="zh-CN"/>
        </w:rPr>
        <w:t>91.52</w:t>
      </w:r>
      <w:r>
        <w:rPr>
          <w:rFonts w:hint="eastAsia"/>
          <w:lang w:val="en-US" w:eastAsia="zh-CN"/>
        </w:rPr>
        <w:t>），高于基线的</w:t>
      </w:r>
      <w:r>
        <w:rPr>
          <w:rFonts w:hint="default"/>
          <w:lang w:val="en-US" w:eastAsia="zh-CN"/>
        </w:rPr>
        <w:t>91.49</w:t>
      </w:r>
      <w:r>
        <w:rPr>
          <w:rFonts w:hint="eastAsia"/>
          <w:lang w:val="en-US" w:eastAsia="zh-CN"/>
        </w:rPr>
        <w:t>，说明去噪机制能够有效提升类别均衡意义下的预测性能。然而，该变体在</w:t>
      </w:r>
      <w:r>
        <w:rPr>
          <w:rFonts w:hint="default"/>
          <w:lang w:val="en-US" w:eastAsia="zh-CN"/>
        </w:rPr>
        <w:t>ACC</w:t>
      </w:r>
      <w:r>
        <w:rPr>
          <w:rFonts w:hint="eastAsia"/>
          <w:lang w:val="en-US" w:eastAsia="zh-CN"/>
        </w:rPr>
        <w:t>（</w:t>
      </w:r>
      <w:r>
        <w:rPr>
          <w:rFonts w:hint="default"/>
          <w:lang w:val="en-US" w:eastAsia="zh-CN"/>
        </w:rPr>
        <w:t>92.66</w:t>
      </w:r>
      <w:r>
        <w:rPr>
          <w:rFonts w:hint="eastAsia"/>
          <w:lang w:val="en-US" w:eastAsia="zh-CN"/>
        </w:rPr>
        <w:t>）和</w:t>
      </w:r>
      <w:r>
        <w:rPr>
          <w:rFonts w:hint="default"/>
          <w:lang w:val="en-US" w:eastAsia="zh-CN"/>
        </w:rPr>
        <w:t>Cohen's κ</w:t>
      </w:r>
      <w:r>
        <w:rPr>
          <w:rFonts w:hint="eastAsia"/>
          <w:lang w:val="en-US" w:eastAsia="zh-CN"/>
        </w:rPr>
        <w:t>（</w:t>
      </w:r>
      <w:r>
        <w:rPr>
          <w:rFonts w:hint="default"/>
          <w:lang w:val="en-US" w:eastAsia="zh-CN"/>
        </w:rPr>
        <w:t>91.31</w:t>
      </w:r>
      <w:r>
        <w:rPr>
          <w:rFonts w:hint="eastAsia"/>
          <w:lang w:val="en-US" w:eastAsia="zh-CN"/>
        </w:rPr>
        <w:t>）上均低于基线，说明去噪操作在提升类别均衡识别能力的同时，可能对整体预测一致性带来轻微负面影响。这一现象表明去噪机制更专注于减少噪声边对少数类别表示的干扰，有利于改善多分类任务中类间不平衡问题。</w:t>
      </w:r>
    </w:p>
    <w:p w14:paraId="59371B28">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default"/>
          <w:lang w:val="en-US" w:eastAsia="zh-CN"/>
        </w:rPr>
        <w:t>Completion-only</w:t>
      </w:r>
      <w:r>
        <w:rPr>
          <w:rFonts w:hint="eastAsia"/>
          <w:lang w:val="en-US" w:eastAsia="zh-CN"/>
        </w:rPr>
        <w:t>模型在</w:t>
      </w:r>
      <w:r>
        <w:rPr>
          <w:rFonts w:hint="default"/>
          <w:lang w:val="en-US" w:eastAsia="zh-CN"/>
        </w:rPr>
        <w:t>Macro-F1</w:t>
      </w:r>
      <w:r>
        <w:rPr>
          <w:rFonts w:hint="eastAsia"/>
          <w:lang w:val="en-US" w:eastAsia="zh-CN"/>
        </w:rPr>
        <w:t>上（</w:t>
      </w:r>
      <w:r>
        <w:rPr>
          <w:rFonts w:hint="default"/>
          <w:lang w:val="en-US" w:eastAsia="zh-CN"/>
        </w:rPr>
        <w:t>90.00</w:t>
      </w:r>
      <w:r>
        <w:rPr>
          <w:rFonts w:hint="eastAsia"/>
          <w:lang w:val="en-US" w:eastAsia="zh-CN"/>
        </w:rPr>
        <w:t>）显著低于基线，但在</w:t>
      </w:r>
      <w:r>
        <w:rPr>
          <w:rFonts w:hint="default"/>
          <w:lang w:val="en-US" w:eastAsia="zh-CN"/>
        </w:rPr>
        <w:t>ACC</w:t>
      </w:r>
      <w:r>
        <w:rPr>
          <w:rFonts w:hint="eastAsia"/>
          <w:lang w:val="en-US" w:eastAsia="zh-CN"/>
        </w:rPr>
        <w:t>（</w:t>
      </w:r>
      <w:r>
        <w:rPr>
          <w:rFonts w:hint="default"/>
          <w:lang w:val="en-US" w:eastAsia="zh-CN"/>
        </w:rPr>
        <w:t>92.89</w:t>
      </w:r>
      <w:r>
        <w:rPr>
          <w:rFonts w:hint="eastAsia"/>
          <w:lang w:val="en-US" w:eastAsia="zh-CN"/>
        </w:rPr>
        <w:t>）和</w:t>
      </w:r>
      <w:r>
        <w:rPr>
          <w:rFonts w:hint="default"/>
          <w:lang w:val="en-US" w:eastAsia="zh-CN"/>
        </w:rPr>
        <w:t>Cohen's κ</w:t>
      </w:r>
      <w:r>
        <w:rPr>
          <w:rFonts w:hint="eastAsia"/>
          <w:lang w:val="en-US" w:eastAsia="zh-CN"/>
        </w:rPr>
        <w:t>（</w:t>
      </w:r>
      <w:r>
        <w:rPr>
          <w:rFonts w:hint="default"/>
          <w:lang w:val="en-US" w:eastAsia="zh-CN"/>
        </w:rPr>
        <w:t>91.57</w:t>
      </w:r>
      <w:r>
        <w:rPr>
          <w:rFonts w:hint="eastAsia"/>
          <w:lang w:val="en-US" w:eastAsia="zh-CN"/>
        </w:rPr>
        <w:t>）上略优于基线。这说明补全机制倾向于增强已有高频关系的结构表达，有利于整体预测一致性的提升，但对类别均衡性能的提升效果有限，甚至可能因引入错误的补全边而略微损害少数类别的识别能力。</w:t>
      </w:r>
    </w:p>
    <w:p w14:paraId="376FA460">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default"/>
          <w:lang w:val="en-US" w:eastAsia="zh-CN"/>
        </w:rPr>
        <w:t>Denoise+Completion</w:t>
      </w:r>
      <w:r>
        <w:rPr>
          <w:rFonts w:hint="eastAsia"/>
          <w:lang w:val="en-US" w:eastAsia="zh-CN"/>
        </w:rPr>
        <w:t>模型在</w:t>
      </w:r>
      <w:r>
        <w:rPr>
          <w:rFonts w:hint="default"/>
          <w:lang w:val="en-US" w:eastAsia="zh-CN"/>
        </w:rPr>
        <w:t>ACC</w:t>
      </w:r>
      <w:r>
        <w:rPr>
          <w:rFonts w:hint="eastAsia"/>
          <w:lang w:val="en-US" w:eastAsia="zh-CN"/>
        </w:rPr>
        <w:t>（</w:t>
      </w:r>
      <w:r>
        <w:rPr>
          <w:rFonts w:hint="default"/>
          <w:lang w:val="en-US" w:eastAsia="zh-CN"/>
        </w:rPr>
        <w:t>92.99</w:t>
      </w:r>
      <w:r>
        <w:rPr>
          <w:rFonts w:hint="eastAsia"/>
          <w:lang w:val="en-US" w:eastAsia="zh-CN"/>
        </w:rPr>
        <w:t>）和</w:t>
      </w:r>
      <w:r>
        <w:rPr>
          <w:rFonts w:hint="default"/>
          <w:lang w:val="en-US" w:eastAsia="zh-CN"/>
        </w:rPr>
        <w:t>Cohen's κ</w:t>
      </w:r>
      <w:r>
        <w:rPr>
          <w:rFonts w:hint="eastAsia"/>
          <w:lang w:val="en-US" w:eastAsia="zh-CN"/>
        </w:rPr>
        <w:t>（</w:t>
      </w:r>
      <w:r>
        <w:rPr>
          <w:rFonts w:hint="default"/>
          <w:lang w:val="en-US" w:eastAsia="zh-CN"/>
        </w:rPr>
        <w:t>91.68</w:t>
      </w:r>
      <w:r>
        <w:rPr>
          <w:rFonts w:hint="eastAsia"/>
          <w:lang w:val="en-US" w:eastAsia="zh-CN"/>
        </w:rPr>
        <w:t>）上达到最优，体现了两种机制的互补性</w:t>
      </w:r>
      <w:r>
        <w:rPr>
          <w:rFonts w:hint="default"/>
          <w:lang w:val="en-US" w:eastAsia="zh-CN"/>
        </w:rPr>
        <w:t>——</w:t>
      </w:r>
      <w:r>
        <w:rPr>
          <w:rFonts w:hint="eastAsia"/>
          <w:lang w:val="en-US" w:eastAsia="zh-CN"/>
        </w:rPr>
        <w:t>去噪减少传播噪声，补全增强有效关联，联合使用能在整体预测一致性上取得最佳折中。但其</w:t>
      </w:r>
      <w:r>
        <w:rPr>
          <w:rFonts w:hint="default"/>
          <w:lang w:val="en-US" w:eastAsia="zh-CN"/>
        </w:rPr>
        <w:t>Macro-F1</w:t>
      </w:r>
      <w:r>
        <w:rPr>
          <w:rFonts w:hint="eastAsia"/>
          <w:lang w:val="en-US" w:eastAsia="zh-CN"/>
        </w:rPr>
        <w:t>（</w:t>
      </w:r>
      <w:r>
        <w:rPr>
          <w:rFonts w:hint="default"/>
          <w:lang w:val="en-US" w:eastAsia="zh-CN"/>
        </w:rPr>
        <w:t>90.78</w:t>
      </w:r>
      <w:r>
        <w:rPr>
          <w:rFonts w:hint="eastAsia"/>
          <w:lang w:val="en-US" w:eastAsia="zh-CN"/>
        </w:rPr>
        <w:t>）低于单独去噪变体，说明补全机制引入的新边中仍存在一定比例的误判，对类别均衡识别有一定负面影响。</w:t>
      </w:r>
    </w:p>
    <w:p w14:paraId="7C456DDE">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由此得出的结论是，在</w:t>
      </w:r>
      <w:r>
        <w:rPr>
          <w:rFonts w:hint="default"/>
          <w:lang w:val="en-US" w:eastAsia="zh-CN"/>
        </w:rPr>
        <w:t>DrugBank</w:t>
      </w:r>
      <w:r>
        <w:rPr>
          <w:rFonts w:hint="eastAsia"/>
          <w:lang w:val="en-US" w:eastAsia="zh-CN"/>
        </w:rPr>
        <w:t>多分类任务上，去噪与补全机制呈现出差异化的边际贡献：去噪更有利于提升类别均衡意义下的预测性能（</w:t>
      </w:r>
      <w:r>
        <w:rPr>
          <w:rFonts w:hint="default"/>
          <w:lang w:val="en-US" w:eastAsia="zh-CN"/>
        </w:rPr>
        <w:t>Macro-F1</w:t>
      </w:r>
      <w:r>
        <w:rPr>
          <w:rFonts w:hint="eastAsia"/>
          <w:lang w:val="en-US" w:eastAsia="zh-CN"/>
        </w:rPr>
        <w:t>），补全更有利于增强整体预测一致性（</w:t>
      </w:r>
      <w:r>
        <w:rPr>
          <w:rFonts w:hint="default"/>
          <w:lang w:val="en-US" w:eastAsia="zh-CN"/>
        </w:rPr>
        <w:t>ACC</w:t>
      </w:r>
      <w:r>
        <w:rPr>
          <w:rFonts w:hint="eastAsia"/>
          <w:lang w:val="en-US" w:eastAsia="zh-CN"/>
        </w:rPr>
        <w:t>、</w:t>
      </w:r>
      <w:r>
        <w:rPr>
          <w:rFonts w:hint="default"/>
          <w:lang w:val="en-US" w:eastAsia="zh-CN"/>
        </w:rPr>
        <w:t>Cohen's κ</w:t>
      </w:r>
      <w:r>
        <w:rPr>
          <w:rFonts w:hint="eastAsia"/>
          <w:lang w:val="en-US" w:eastAsia="zh-CN"/>
        </w:rPr>
        <w:t>），两者在</w:t>
      </w:r>
      <w:r>
        <w:rPr>
          <w:rFonts w:hint="default"/>
          <w:lang w:val="en-US" w:eastAsia="zh-CN"/>
        </w:rPr>
        <w:t>DrugBank</w:t>
      </w:r>
      <w:r>
        <w:rPr>
          <w:rFonts w:hint="eastAsia"/>
          <w:lang w:val="en-US" w:eastAsia="zh-CN"/>
        </w:rPr>
        <w:t>数据集上形成了明显的性能权衡关系。</w:t>
      </w:r>
    </w:p>
    <w:p w14:paraId="11A3F0EE">
      <w:pPr>
        <w:pStyle w:val="167"/>
        <w:bidi w:val="0"/>
        <w:rPr>
          <w:lang w:val="en-US"/>
        </w:rPr>
      </w:pPr>
      <w:bookmarkStart w:id="8" w:name="_Toc794070687"/>
      <w:bookmarkEnd w:id="8"/>
      <w:r>
        <w:rPr>
          <w:color w:val="000000"/>
        </w:rPr>
        <w:t>5.2 TWOSIDES消融实验结果与分析</w:t>
      </w:r>
    </w:p>
    <w:p w14:paraId="176C385A">
      <w:pPr>
        <w:pStyle w:val="168"/>
        <w:bidi w:val="0"/>
        <w:rPr>
          <w:lang w:val="en-US"/>
        </w:rPr>
      </w:pPr>
      <w:bookmarkStart w:id="9" w:name="_Toc1482653951"/>
      <w:bookmarkEnd w:id="9"/>
      <w:r>
        <w:rPr>
          <w:color w:val="000000"/>
        </w:rPr>
        <w:t>5.2.1 TWOSIDES消融实验结果</w:t>
      </w:r>
    </w:p>
    <w:p w14:paraId="32AF571E">
      <w:pPr>
        <w:pStyle w:val="169"/>
        <w:keepNext w:val="0"/>
        <w:keepLines w:val="0"/>
        <w:pageBreakBefore w:val="0"/>
        <w:kinsoku/>
        <w:wordWrap/>
        <w:overflowPunct/>
        <w:topLinePunct w:val="0"/>
        <w:autoSpaceDE/>
        <w:autoSpaceDN/>
        <w:bidi w:val="0"/>
        <w:adjustRightInd/>
        <w:snapToGrid/>
        <w:textAlignment w:val="auto"/>
        <w:rPr>
          <w:lang w:val="en-US"/>
        </w:rPr>
      </w:pPr>
      <w:r>
        <w:rPr>
          <w:color w:val="000000"/>
        </w:rPr>
        <w:t>表5.2 TWOSIDES消融实验结果（均值±标准差，%）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78"/>
        <w:gridCol w:w="2823"/>
        <w:gridCol w:w="2821"/>
      </w:tblGrid>
      <w:tr w14:paraId="378739C7">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71DA1E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eastAsia" w:ascii="Times New Roman" w:hAnsi="Times New Roman" w:eastAsia="宋体" w:cs="宋体"/>
                <w:b/>
                <w:bCs w:val="0"/>
                <w:color w:val="000000"/>
                <w:kern w:val="0"/>
                <w:sz w:val="21"/>
                <w:szCs w:val="22"/>
                <w:lang w:val="en-US" w:eastAsia="zh-CN" w:bidi="ar"/>
              </w:rPr>
              <w:t>模型变体</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315908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b/>
                <w:bCs w:val="0"/>
                <w:color w:val="000000"/>
                <w:kern w:val="0"/>
                <w:sz w:val="21"/>
                <w:szCs w:val="22"/>
                <w:lang w:val="en-US" w:eastAsia="zh-CN" w:bidi="ar"/>
              </w:rPr>
              <w:t>AUROC</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7EAD97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b/>
                <w:bCs w:val="0"/>
                <w:color w:val="000000"/>
                <w:kern w:val="0"/>
                <w:sz w:val="21"/>
                <w:szCs w:val="22"/>
                <w:lang w:val="en-US" w:eastAsia="zh-CN" w:bidi="ar"/>
              </w:rPr>
              <w:t>AUPRC</w:t>
            </w:r>
          </w:p>
        </w:tc>
      </w:tr>
      <w:tr w14:paraId="3D5F5139">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781684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Baseline</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6811F7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95.44 ± 0.01</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4FF935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94.11 ± 0.07</w:t>
            </w:r>
          </w:p>
        </w:tc>
      </w:tr>
      <w:tr w14:paraId="419F3A0E">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68B345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Denoise-only</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11EF1E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95.21 ± 0.05</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4D8D6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93.79 ± 0.09</w:t>
            </w:r>
          </w:p>
        </w:tc>
      </w:tr>
      <w:tr w14:paraId="18A86B4B">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0E2B9D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Completion-only</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5FB7C7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95.23 ± 0.04</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6D4808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93.94 ± 0.07</w:t>
            </w:r>
          </w:p>
        </w:tc>
      </w:tr>
      <w:tr w14:paraId="2BC9C983">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2134A7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Denoise+Completion</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15B880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95.21 ± 0.06</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772809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lang w:val="en-US"/>
              </w:rPr>
            </w:pPr>
            <w:r>
              <w:rPr>
                <w:rFonts w:hint="default" w:ascii="Times New Roman" w:hAnsi="Times New Roman" w:eastAsia="宋体" w:cs="Times New Roman"/>
                <w:color w:val="000000"/>
                <w:kern w:val="0"/>
                <w:sz w:val="21"/>
                <w:szCs w:val="22"/>
                <w:lang w:val="en-US" w:eastAsia="zh-CN" w:bidi="ar"/>
              </w:rPr>
              <w:t>93.90 ± 0.11</w:t>
            </w:r>
          </w:p>
        </w:tc>
      </w:tr>
    </w:tbl>
    <w:p w14:paraId="74586851">
      <w:pPr>
        <w:pStyle w:val="168"/>
        <w:keepNext w:val="0"/>
        <w:keepLines w:val="0"/>
        <w:pageBreakBefore w:val="0"/>
        <w:widowControl w:val="0"/>
        <w:kinsoku/>
        <w:wordWrap/>
        <w:overflowPunct/>
        <w:topLinePunct w:val="0"/>
        <w:autoSpaceDE/>
        <w:autoSpaceDN/>
        <w:bidi w:val="0"/>
        <w:adjustRightInd/>
        <w:snapToGrid/>
        <w:textAlignment w:val="auto"/>
        <w:outlineLvl w:val="9"/>
        <w:rPr>
          <w:rFonts w:hint="default"/>
          <w:lang w:val="en-US" w:eastAsia="zh-CN"/>
        </w:rPr>
      </w:pPr>
      <w:r>
        <w:rPr>
          <w:rFonts w:hint="default"/>
          <w:lang w:val="en-US" w:eastAsia="zh-CN"/>
        </w:rPr>
        <w:drawing>
          <wp:inline distT="0" distB="0" distL="114300" distR="114300">
            <wp:extent cx="5270500" cy="3386455"/>
            <wp:effectExtent l="0" t="0" r="12700" b="17145"/>
            <wp:docPr id="7" name="图片 7" descr="fig4-2_twosides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2_twosides_ablation"/>
                    <pic:cNvPicPr>
                      <a:picLocks noChangeAspect="1"/>
                    </pic:cNvPicPr>
                  </pic:nvPicPr>
                  <pic:blipFill>
                    <a:blip r:embed="rId10"/>
                    <a:srcRect t="5927"/>
                    <a:stretch>
                      <a:fillRect/>
                    </a:stretch>
                  </pic:blipFill>
                  <pic:spPr>
                    <a:xfrm>
                      <a:off x="0" y="0"/>
                      <a:ext cx="5270500" cy="3386455"/>
                    </a:xfrm>
                    <a:prstGeom prst="rect">
                      <a:avLst/>
                    </a:prstGeom>
                  </pic:spPr>
                </pic:pic>
              </a:graphicData>
            </a:graphic>
          </wp:inline>
        </w:drawing>
      </w:r>
    </w:p>
    <w:p w14:paraId="3AC248B7">
      <w:pPr>
        <w:pStyle w:val="169"/>
        <w:keepNext w:val="0"/>
        <w:keepLines w:val="0"/>
        <w:pageBreakBefore w:val="0"/>
        <w:kinsoku/>
        <w:wordWrap/>
        <w:overflowPunct/>
        <w:topLinePunct w:val="0"/>
        <w:autoSpaceDE/>
        <w:autoSpaceDN/>
        <w:bidi w:val="0"/>
        <w:adjustRightInd/>
        <w:snapToGrid/>
        <w:textAlignment w:val="auto"/>
        <w:rPr>
          <w:rFonts w:hint="default"/>
          <w:lang w:val="en-US" w:eastAsia="zh-CN"/>
        </w:rPr>
      </w:pPr>
      <w:r>
        <w:rPr>
          <w:color w:val="000000"/>
        </w:rPr>
        <w:t>图5.2 TWOSIDES消融实验各指标对比柱状图</w:t>
      </w:r>
    </w:p>
    <w:p w14:paraId="373853A5">
      <w:pPr>
        <w:pStyle w:val="168"/>
        <w:bidi w:val="0"/>
        <w:rPr>
          <w:lang w:val="en-US"/>
        </w:rPr>
      </w:pPr>
      <w:bookmarkStart w:id="10" w:name="_Toc1712198316"/>
      <w:bookmarkEnd w:id="10"/>
      <w:r>
        <w:rPr>
          <w:color w:val="000000"/>
        </w:rPr>
        <w:t>5.2.2 TWOSIDES消融实验分析</w:t>
      </w:r>
    </w:p>
    <w:p w14:paraId="5CA47922">
      <w:pPr>
        <w:pStyle w:val="170"/>
        <w:keepNext w:val="0"/>
        <w:keepLines w:val="0"/>
        <w:pageBreakBefore w:val="0"/>
        <w:kinsoku/>
        <w:wordWrap/>
        <w:overflowPunct/>
        <w:topLinePunct w:val="0"/>
        <w:autoSpaceDE/>
        <w:autoSpaceDN/>
        <w:bidi w:val="0"/>
        <w:textAlignment w:val="auto"/>
        <w:outlineLvl w:val="9"/>
        <w:rPr>
          <w:lang w:val="en-US"/>
        </w:rPr>
      </w:pPr>
      <w:r>
        <w:t>从表</w:t>
      </w:r>
      <w:r>
        <w:rPr>
          <w:color w:val="000000"/>
        </w:rPr>
        <w:t>5.2和图5</w:t>
      </w:r>
      <w:r>
        <w:t>.2可以观察到与DrugBank截然不同的规律：</w:t>
      </w:r>
    </w:p>
    <w:p w14:paraId="6EC1DD87">
      <w:pPr>
        <w:pStyle w:val="170"/>
        <w:keepNext w:val="0"/>
        <w:keepLines w:val="0"/>
        <w:pageBreakBefore w:val="0"/>
        <w:kinsoku/>
        <w:wordWrap/>
        <w:overflowPunct/>
        <w:topLinePunct w:val="0"/>
        <w:autoSpaceDE/>
        <w:autoSpaceDN/>
        <w:bidi w:val="0"/>
        <w:textAlignment w:val="auto"/>
        <w:outlineLvl w:val="9"/>
        <w:rPr>
          <w:lang w:val="en-US"/>
        </w:rPr>
      </w:pPr>
      <w:r>
        <w:rPr>
          <w:rFonts w:hint="eastAsia"/>
          <w:lang w:val="en-US" w:eastAsia="zh-CN"/>
        </w:rPr>
        <w:t>在</w:t>
      </w:r>
      <w:r>
        <w:rPr>
          <w:rFonts w:hint="default"/>
          <w:lang w:val="en-US" w:eastAsia="zh-CN"/>
        </w:rPr>
        <w:t>TWOSIDES</w:t>
      </w:r>
      <w:r>
        <w:rPr>
          <w:rFonts w:hint="eastAsia"/>
          <w:lang w:val="en-US" w:eastAsia="zh-CN"/>
        </w:rPr>
        <w:t>数据集上，原始基线模型在</w:t>
      </w:r>
      <w:r>
        <w:rPr>
          <w:rFonts w:hint="default"/>
          <w:lang w:val="en-US" w:eastAsia="zh-CN"/>
        </w:rPr>
        <w:t>AUROC</w:t>
      </w:r>
      <w:r>
        <w:rPr>
          <w:rFonts w:hint="eastAsia"/>
          <w:lang w:val="en-US" w:eastAsia="zh-CN"/>
        </w:rPr>
        <w:t>（</w:t>
      </w:r>
      <w:r>
        <w:rPr>
          <w:rFonts w:hint="default"/>
          <w:lang w:val="en-US" w:eastAsia="zh-CN"/>
        </w:rPr>
        <w:t>95.44</w:t>
      </w:r>
      <w:r>
        <w:rPr>
          <w:rFonts w:hint="eastAsia"/>
          <w:lang w:val="en-US" w:eastAsia="zh-CN"/>
        </w:rPr>
        <w:t>）和</w:t>
      </w:r>
      <w:r>
        <w:rPr>
          <w:rFonts w:hint="default"/>
          <w:lang w:val="en-US" w:eastAsia="zh-CN"/>
        </w:rPr>
        <w:t>AUPRC</w:t>
      </w:r>
      <w:r>
        <w:rPr>
          <w:rFonts w:hint="eastAsia"/>
          <w:lang w:val="en-US" w:eastAsia="zh-CN"/>
        </w:rPr>
        <w:t>（</w:t>
      </w:r>
      <w:r>
        <w:rPr>
          <w:rFonts w:hint="default"/>
          <w:lang w:val="en-US" w:eastAsia="zh-CN"/>
        </w:rPr>
        <w:t>94.11</w:t>
      </w:r>
      <w:r>
        <w:rPr>
          <w:rFonts w:hint="eastAsia"/>
          <w:lang w:val="en-US" w:eastAsia="zh-CN"/>
        </w:rPr>
        <w:t>）两项指标上均保持最优，所有引入图结构学习操作的变体均未能超过基线。这与</w:t>
      </w:r>
      <w:r>
        <w:rPr>
          <w:rFonts w:hint="default"/>
          <w:lang w:val="en-US" w:eastAsia="zh-CN"/>
        </w:rPr>
        <w:t>DrugBank</w:t>
      </w:r>
      <w:r>
        <w:rPr>
          <w:rFonts w:hint="eastAsia"/>
          <w:lang w:val="en-US" w:eastAsia="zh-CN"/>
        </w:rPr>
        <w:t>上的结论存在明显差异，说明图结构学习机制的有效性具有显著的数据集相关性。</w:t>
      </w:r>
    </w:p>
    <w:p w14:paraId="11566BC7">
      <w:pPr>
        <w:pStyle w:val="170"/>
        <w:keepNext w:val="0"/>
        <w:keepLines w:val="0"/>
        <w:pageBreakBefore w:val="0"/>
        <w:kinsoku/>
        <w:wordWrap/>
        <w:overflowPunct/>
        <w:topLinePunct w:val="0"/>
        <w:autoSpaceDE/>
        <w:autoSpaceDN/>
        <w:bidi w:val="0"/>
        <w:textAlignment w:val="auto"/>
        <w:outlineLvl w:val="9"/>
        <w:rPr>
          <w:lang w:val="en-US"/>
        </w:rPr>
      </w:pPr>
      <w:r>
        <w:rPr>
          <w:rFonts w:hint="eastAsia"/>
          <w:lang w:val="en-US" w:eastAsia="zh-CN"/>
        </w:rPr>
        <w:t>结合训练日志中的图结构统计数据，</w:t>
      </w:r>
      <w:r>
        <w:rPr>
          <w:rFonts w:hint="default"/>
          <w:lang w:val="en-US" w:eastAsia="zh-CN"/>
        </w:rPr>
        <w:t>TWOSIDES</w:t>
      </w:r>
      <w:r>
        <w:rPr>
          <w:rFonts w:hint="eastAsia"/>
          <w:lang w:val="en-US" w:eastAsia="zh-CN"/>
        </w:rPr>
        <w:t>数据集上补全模块（</w:t>
      </w:r>
      <w:r>
        <w:rPr>
          <w:rFonts w:hint="default"/>
          <w:lang w:val="en-US" w:eastAsia="zh-CN"/>
        </w:rPr>
        <w:t>completion_only</w:t>
      </w:r>
      <w:r>
        <w:rPr>
          <w:rFonts w:hint="eastAsia"/>
          <w:lang w:val="en-US" w:eastAsia="zh-CN"/>
        </w:rPr>
        <w:t>）的激活比例在</w:t>
      </w:r>
      <w:r>
        <w:rPr>
          <w:rFonts w:hint="default"/>
          <w:lang w:val="en-US" w:eastAsia="zh-CN"/>
        </w:rPr>
        <w:t>3</w:t>
      </w:r>
      <w:r>
        <w:rPr>
          <w:rFonts w:hint="eastAsia"/>
          <w:lang w:val="en-US" w:eastAsia="zh-CN"/>
        </w:rPr>
        <w:t>个随机种子下均保持在较低水平（约</w:t>
      </w:r>
      <w:r>
        <w:rPr>
          <w:rFonts w:hint="default"/>
          <w:lang w:val="en-US" w:eastAsia="zh-CN"/>
        </w:rPr>
        <w:t>0.62%~0.79%</w:t>
      </w:r>
      <w:r>
        <w:rPr>
          <w:rFonts w:hint="eastAsia"/>
          <w:lang w:val="en-US" w:eastAsia="zh-CN"/>
        </w:rPr>
        <w:t>），说明当前补全策略在该数据集上较为保守，实际引入的新边非常有限。这直接导致补全机制在</w:t>
      </w:r>
      <w:r>
        <w:rPr>
          <w:rFonts w:hint="default"/>
          <w:lang w:val="en-US" w:eastAsia="zh-CN"/>
        </w:rPr>
        <w:t>TWOSIDES</w:t>
      </w:r>
      <w:r>
        <w:rPr>
          <w:rFonts w:hint="eastAsia"/>
          <w:lang w:val="en-US" w:eastAsia="zh-CN"/>
        </w:rPr>
        <w:t>上的边际贡献相对有限。</w:t>
      </w:r>
    </w:p>
    <w:p w14:paraId="75B2BEC8">
      <w:pPr>
        <w:pStyle w:val="169"/>
        <w:keepNext w:val="0"/>
        <w:keepLines w:val="0"/>
        <w:pageBreakBefore w:val="0"/>
        <w:kinsoku/>
        <w:wordWrap/>
        <w:overflowPunct/>
        <w:topLinePunct w:val="0"/>
        <w:autoSpaceDE/>
        <w:autoSpaceDN/>
        <w:bidi w:val="0"/>
        <w:textAlignment w:val="auto"/>
        <w:outlineLvl w:val="9"/>
        <w:rPr>
          <w:lang w:val="en-US"/>
        </w:rPr>
      </w:pPr>
      <w:r>
        <w:rPr>
          <w:color w:val="000000"/>
        </w:rPr>
        <w:t>表5.3 TWOSIDES补全模块激活比例统计</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47"/>
        <w:gridCol w:w="2847"/>
        <w:gridCol w:w="2828"/>
      </w:tblGrid>
      <w:tr w14:paraId="21ED51CB">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0D2C9B99">
            <w:pPr>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outlineLvl w:val="9"/>
              <w:rPr>
                <w:rFonts w:hint="eastAsia"/>
                <w:lang w:val="en-US"/>
              </w:rPr>
            </w:pPr>
            <w:r>
              <w:rPr>
                <w:rFonts w:hint="eastAsia" w:ascii="Times New Roman" w:hAnsi="Times New Roman" w:eastAsia="宋体" w:cs="宋体"/>
                <w:b/>
                <w:bCs w:val="0"/>
                <w:color w:val="000000"/>
                <w:kern w:val="0"/>
                <w:sz w:val="21"/>
                <w:szCs w:val="22"/>
                <w:lang w:val="en-US" w:eastAsia="zh-CN" w:bidi="ar"/>
              </w:rPr>
              <w:t>数据集</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5FCFFAB1">
            <w:pPr>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outlineLvl w:val="9"/>
              <w:rPr>
                <w:rFonts w:hint="eastAsia"/>
                <w:lang w:val="en-US"/>
              </w:rPr>
            </w:pPr>
            <w:r>
              <w:rPr>
                <w:rFonts w:hint="eastAsia" w:ascii="Times New Roman" w:hAnsi="Times New Roman" w:eastAsia="宋体" w:cs="宋体"/>
                <w:b/>
                <w:bCs w:val="0"/>
                <w:color w:val="000000"/>
                <w:kern w:val="0"/>
                <w:sz w:val="21"/>
                <w:szCs w:val="22"/>
                <w:lang w:val="en-US" w:eastAsia="zh-CN" w:bidi="ar"/>
              </w:rPr>
              <w:t>实验设置</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65B579A5">
            <w:pPr>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outlineLvl w:val="9"/>
              <w:rPr>
                <w:rFonts w:hint="eastAsia"/>
                <w:lang w:val="en-US"/>
              </w:rPr>
            </w:pPr>
            <w:r>
              <w:rPr>
                <w:rFonts w:hint="eastAsia" w:ascii="Times New Roman" w:hAnsi="Times New Roman" w:eastAsia="宋体" w:cs="宋体"/>
                <w:b/>
                <w:bCs w:val="0"/>
                <w:color w:val="000000"/>
                <w:kern w:val="0"/>
                <w:sz w:val="21"/>
                <w:szCs w:val="22"/>
                <w:lang w:val="en-US" w:eastAsia="zh-CN" w:bidi="ar"/>
              </w:rPr>
              <w:t>补全激活比例</w:t>
            </w:r>
          </w:p>
        </w:tc>
      </w:tr>
      <w:tr w14:paraId="0292E81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2D790038">
            <w:pPr>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outlineLvl w:val="9"/>
              <w:rPr>
                <w:rFonts w:hint="eastAsia"/>
                <w:lang w:val="en-US"/>
              </w:rPr>
            </w:pPr>
            <w:r>
              <w:rPr>
                <w:rFonts w:hint="default" w:ascii="Times New Roman" w:hAnsi="Times New Roman" w:eastAsia="宋体" w:cs="Times New Roman"/>
                <w:color w:val="000000"/>
                <w:kern w:val="0"/>
                <w:sz w:val="21"/>
                <w:szCs w:val="22"/>
                <w:lang w:val="en-US" w:eastAsia="zh-CN" w:bidi="ar"/>
              </w:rPr>
              <w:t>TWOSIDES</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70782AB6">
            <w:pPr>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outlineLvl w:val="9"/>
              <w:rPr>
                <w:rFonts w:hint="eastAsia"/>
                <w:lang w:val="en-US"/>
              </w:rPr>
            </w:pPr>
            <w:r>
              <w:rPr>
                <w:rFonts w:hint="default" w:ascii="Times New Roman" w:hAnsi="Times New Roman" w:eastAsia="宋体" w:cs="Times New Roman"/>
                <w:color w:val="000000"/>
                <w:kern w:val="0"/>
                <w:sz w:val="21"/>
                <w:szCs w:val="22"/>
                <w:lang w:val="en-US" w:eastAsia="zh-CN" w:bidi="ar"/>
              </w:rPr>
              <w:t>Completion-only</w:t>
            </w:r>
          </w:p>
        </w:tc>
        <w:tc>
          <w:tcPr>
            <w:tcW w:w="2929" w:type="dxa"/>
            <w:tcBorders>
              <w:top w:val="single" w:color="auto" w:sz="4" w:space="0"/>
              <w:left w:val="single" w:color="auto" w:sz="4" w:space="0"/>
              <w:bottom w:val="single" w:color="auto" w:sz="4" w:space="0"/>
              <w:right w:val="single" w:color="auto" w:sz="4" w:space="0"/>
            </w:tcBorders>
            <w:shd w:val="clear" w:color="auto" w:fill="auto"/>
            <w:vAlign w:val="top"/>
          </w:tcPr>
          <w:p w14:paraId="4E13360C">
            <w:pPr>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outlineLvl w:val="9"/>
              <w:rPr>
                <w:rFonts w:hint="eastAsia"/>
                <w:lang w:val="en-US"/>
              </w:rPr>
            </w:pPr>
            <w:r>
              <w:rPr>
                <w:rFonts w:hint="default" w:ascii="Times New Roman" w:hAnsi="Times New Roman" w:eastAsia="宋体" w:cs="Times New Roman"/>
                <w:color w:val="000000"/>
                <w:kern w:val="0"/>
                <w:sz w:val="21"/>
                <w:szCs w:val="22"/>
                <w:lang w:val="en-US" w:eastAsia="zh-CN" w:bidi="ar"/>
              </w:rPr>
              <w:t>0.62% ~ 0.79%</w:t>
            </w:r>
            <w:r>
              <w:rPr>
                <w:rFonts w:hint="eastAsia" w:ascii="Times New Roman" w:hAnsi="Times New Roman" w:eastAsia="宋体" w:cs="宋体"/>
                <w:color w:val="000000"/>
                <w:kern w:val="0"/>
                <w:sz w:val="21"/>
                <w:szCs w:val="22"/>
                <w:lang w:val="en-US" w:eastAsia="zh-CN" w:bidi="ar"/>
              </w:rPr>
              <w:t>（</w:t>
            </w:r>
            <w:r>
              <w:rPr>
                <w:rFonts w:hint="default" w:ascii="Times New Roman" w:hAnsi="Times New Roman" w:eastAsia="宋体" w:cs="Times New Roman"/>
                <w:color w:val="000000"/>
                <w:kern w:val="0"/>
                <w:sz w:val="21"/>
                <w:szCs w:val="22"/>
                <w:lang w:val="en-US" w:eastAsia="zh-CN" w:bidi="ar"/>
              </w:rPr>
              <w:t>3 seeds</w:t>
            </w:r>
            <w:r>
              <w:rPr>
                <w:rFonts w:hint="eastAsia" w:ascii="Times New Roman" w:hAnsi="Times New Roman" w:eastAsia="宋体" w:cs="宋体"/>
                <w:color w:val="000000"/>
                <w:kern w:val="0"/>
                <w:sz w:val="21"/>
                <w:szCs w:val="22"/>
                <w:lang w:val="en-US" w:eastAsia="zh-CN" w:bidi="ar"/>
              </w:rPr>
              <w:t>）</w:t>
            </w:r>
          </w:p>
        </w:tc>
      </w:tr>
    </w:tbl>
    <w:p w14:paraId="006B95A8">
      <w:pPr>
        <w:pStyle w:val="170"/>
        <w:keepNext w:val="0"/>
        <w:keepLines w:val="0"/>
        <w:pageBreakBefore w:val="0"/>
        <w:kinsoku/>
        <w:wordWrap/>
        <w:overflowPunct/>
        <w:topLinePunct w:val="0"/>
        <w:autoSpaceDE/>
        <w:autoSpaceDN/>
        <w:bidi w:val="0"/>
        <w:textAlignment w:val="auto"/>
        <w:outlineLvl w:val="9"/>
        <w:rPr>
          <w:lang w:val="en-US"/>
        </w:rPr>
      </w:pPr>
      <w:r>
        <w:rPr>
          <w:rFonts w:hint="eastAsia"/>
          <w:lang w:val="en-US" w:eastAsia="zh-CN"/>
        </w:rPr>
        <w:t>由以上结果分析，</w:t>
      </w:r>
      <w:r>
        <w:rPr>
          <w:rFonts w:hint="default"/>
          <w:lang w:val="en-US" w:eastAsia="zh-CN"/>
        </w:rPr>
        <w:t>TWOSIDES</w:t>
      </w:r>
      <w:r>
        <w:rPr>
          <w:rFonts w:hint="eastAsia"/>
          <w:lang w:val="en-US" w:eastAsia="zh-CN"/>
        </w:rPr>
        <w:t>数据集的多标签特性与</w:t>
      </w:r>
      <w:r>
        <w:rPr>
          <w:rFonts w:hint="default"/>
          <w:lang w:val="en-US" w:eastAsia="zh-CN"/>
        </w:rPr>
        <w:t>DrugBank</w:t>
      </w:r>
      <w:r>
        <w:rPr>
          <w:rFonts w:hint="eastAsia"/>
          <w:lang w:val="en-US" w:eastAsia="zh-CN"/>
        </w:rPr>
        <w:t>的多分类特性存在本质差异。</w:t>
      </w:r>
      <w:r>
        <w:rPr>
          <w:rFonts w:hint="default"/>
          <w:lang w:val="en-US" w:eastAsia="zh-CN"/>
        </w:rPr>
        <w:t>TWOSIDES</w:t>
      </w:r>
      <w:r>
        <w:rPr>
          <w:rFonts w:hint="eastAsia"/>
          <w:lang w:val="en-US" w:eastAsia="zh-CN"/>
        </w:rPr>
        <w:t>中的</w:t>
      </w:r>
      <w:r>
        <w:rPr>
          <w:rFonts w:hint="default"/>
          <w:lang w:val="en-US" w:eastAsia="zh-CN"/>
        </w:rPr>
        <w:t>200</w:t>
      </w:r>
      <w:r>
        <w:rPr>
          <w:rFonts w:hint="eastAsia"/>
          <w:lang w:val="en-US" w:eastAsia="zh-CN"/>
        </w:rPr>
        <w:t>类</w:t>
      </w:r>
      <w:r>
        <w:rPr>
          <w:rFonts w:hint="default"/>
          <w:lang w:val="en-US" w:eastAsia="zh-CN"/>
        </w:rPr>
        <w:t>DDI</w:t>
      </w:r>
      <w:r>
        <w:rPr>
          <w:rFonts w:hint="eastAsia"/>
          <w:lang w:val="en-US" w:eastAsia="zh-CN"/>
        </w:rPr>
        <w:t>关系标注来源于药物不良事件报告，其标签分布和药理语义与</w:t>
      </w:r>
      <w:r>
        <w:rPr>
          <w:rFonts w:hint="default"/>
          <w:lang w:val="en-US" w:eastAsia="zh-CN"/>
        </w:rPr>
        <w:t>DrugBank</w:t>
      </w:r>
      <w:r>
        <w:rPr>
          <w:rFonts w:hint="eastAsia"/>
          <w:lang w:val="en-US" w:eastAsia="zh-CN"/>
        </w:rPr>
        <w:t>中基于明确机理的</w:t>
      </w:r>
      <w:r>
        <w:rPr>
          <w:rFonts w:hint="default"/>
          <w:lang w:val="en-US" w:eastAsia="zh-CN"/>
        </w:rPr>
        <w:t>86</w:t>
      </w:r>
      <w:r>
        <w:rPr>
          <w:rFonts w:hint="eastAsia"/>
          <w:lang w:val="en-US" w:eastAsia="zh-CN"/>
        </w:rPr>
        <w:t>类关系存在显著差异。此外，</w:t>
      </w:r>
      <w:r>
        <w:rPr>
          <w:rFonts w:hint="default"/>
          <w:lang w:val="en-US" w:eastAsia="zh-CN"/>
        </w:rPr>
        <w:t>TWOSIDES</w:t>
      </w:r>
      <w:r>
        <w:rPr>
          <w:rFonts w:hint="eastAsia"/>
          <w:lang w:val="en-US" w:eastAsia="zh-CN"/>
        </w:rPr>
        <w:t>的药物数量（</w:t>
      </w:r>
      <w:r>
        <w:rPr>
          <w:rFonts w:hint="default"/>
          <w:lang w:val="en-US" w:eastAsia="zh-CN"/>
        </w:rPr>
        <w:t>645</w:t>
      </w:r>
      <w:r>
        <w:rPr>
          <w:rFonts w:hint="eastAsia"/>
          <w:lang w:val="en-US" w:eastAsia="zh-CN"/>
        </w:rPr>
        <w:t>种）远少于</w:t>
      </w:r>
      <w:r>
        <w:rPr>
          <w:rFonts w:hint="default"/>
          <w:lang w:val="en-US" w:eastAsia="zh-CN"/>
        </w:rPr>
        <w:t>DrugBank</w:t>
      </w:r>
      <w:r>
        <w:rPr>
          <w:rFonts w:hint="eastAsia"/>
          <w:lang w:val="en-US" w:eastAsia="zh-CN"/>
        </w:rPr>
        <w:t>（</w:t>
      </w:r>
      <w:r>
        <w:rPr>
          <w:rFonts w:hint="default"/>
          <w:lang w:val="en-US" w:eastAsia="zh-CN"/>
        </w:rPr>
        <w:t>1710</w:t>
      </w:r>
      <w:r>
        <w:rPr>
          <w:rFonts w:hint="eastAsia"/>
          <w:lang w:val="en-US" w:eastAsia="zh-CN"/>
        </w:rPr>
        <w:t>种），但每个药物对可能同时具有多个正标签，使得图结构中的有效关联相对更加稠密，降低了补全机制引入新有效边的必要性。</w:t>
      </w:r>
    </w:p>
    <w:p w14:paraId="6AE7C66B">
      <w:pPr>
        <w:keepNext w:val="0"/>
        <w:keepLines w:val="0"/>
        <w:pageBreakBefore w:val="0"/>
        <w:widowControl/>
        <w:suppressLineNumbers w:val="0"/>
        <w:kinsoku/>
        <w:wordWrap/>
        <w:overflowPunct/>
        <w:topLinePunct w:val="0"/>
        <w:autoSpaceDE/>
        <w:autoSpaceDN/>
        <w:bidi w:val="0"/>
        <w:spacing w:before="0" w:beforeAutospacing="0" w:after="200" w:afterAutospacing="0" w:line="440" w:lineRule="exact"/>
        <w:ind w:left="0" w:right="0" w:firstLine="482"/>
        <w:jc w:val="both"/>
        <w:textAlignment w:val="auto"/>
        <w:outlineLvl w:val="9"/>
        <w:rPr>
          <w:lang w:val="en-US"/>
        </w:rPr>
      </w:pPr>
      <w:r>
        <w:rPr>
          <w:rFonts w:hint="eastAsia" w:ascii="Times New Roman" w:hAnsi="Times New Roman" w:cs="宋体"/>
          <w:color w:val="000000"/>
          <w:kern w:val="0"/>
          <w:sz w:val="24"/>
          <w:szCs w:val="22"/>
          <w:lang w:val="en-US" w:eastAsia="zh-CN" w:bidi="ar"/>
        </w:rPr>
        <w:t>最后得出的结论是，</w:t>
      </w:r>
      <w:r>
        <w:rPr>
          <w:rFonts w:hint="eastAsia" w:ascii="Times New Roman" w:hAnsi="Times New Roman" w:eastAsia="宋体" w:cs="宋体"/>
          <w:color w:val="000000"/>
          <w:kern w:val="0"/>
          <w:sz w:val="24"/>
          <w:szCs w:val="22"/>
          <w:lang w:val="en-US" w:eastAsia="zh-CN" w:bidi="ar"/>
        </w:rPr>
        <w:t>当原始图结构已经能够较充分地建模有效关系时，额外的图结构学习操作（无论是去噪还是补全）不一定带来显著增益，甚至可能引入轻微噪声。这说明图结构学习机制的适用边界与数据集的固有图稠密性密切相关。</w:t>
      </w:r>
    </w:p>
    <w:p w14:paraId="20D54543">
      <w:pPr>
        <w:pStyle w:val="167"/>
        <w:bidi w:val="0"/>
        <w:rPr>
          <w:lang w:val="en-US"/>
        </w:rPr>
      </w:pPr>
      <w:bookmarkStart w:id="11" w:name="_Toc636227212"/>
      <w:bookmarkEnd w:id="11"/>
      <w:r>
        <w:rPr>
          <w:color w:val="000000"/>
        </w:rPr>
        <w:t>5.3 跨数据集对比与综合分析</w:t>
      </w:r>
    </w:p>
    <w:p w14:paraId="05664234">
      <w:pPr>
        <w:pStyle w:val="168"/>
        <w:bidi w:val="0"/>
        <w:rPr>
          <w:lang w:val="en-US"/>
        </w:rPr>
      </w:pPr>
      <w:bookmarkStart w:id="12" w:name="_Toc749673671"/>
      <w:bookmarkEnd w:id="12"/>
      <w:r>
        <w:rPr>
          <w:color w:val="000000"/>
        </w:rPr>
        <w:t>5.3.1 跨数据集消融结论对比</w:t>
      </w:r>
    </w:p>
    <w:p w14:paraId="11051578">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将</w:t>
      </w:r>
      <w:r>
        <w:rPr>
          <w:rFonts w:hint="default"/>
          <w:lang w:val="en-US" w:eastAsia="zh-CN"/>
        </w:rPr>
        <w:t>DrugBank</w:t>
      </w:r>
      <w:r>
        <w:rPr>
          <w:rFonts w:hint="eastAsia"/>
          <w:lang w:val="en-US" w:eastAsia="zh-CN"/>
        </w:rPr>
        <w:t>与</w:t>
      </w:r>
      <w:r>
        <w:rPr>
          <w:rFonts w:hint="default"/>
          <w:lang w:val="en-US" w:eastAsia="zh-CN"/>
        </w:rPr>
        <w:t>TWOSIDES</w:t>
      </w:r>
      <w:r>
        <w:rPr>
          <w:rFonts w:hint="eastAsia"/>
          <w:lang w:val="en-US" w:eastAsia="zh-CN"/>
        </w:rPr>
        <w:t>的消融实验结果进行对比，可以得到以下综合结论：</w:t>
      </w:r>
    </w:p>
    <w:p w14:paraId="39C424FD">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在</w:t>
      </w:r>
      <w:r>
        <w:rPr>
          <w:rFonts w:hint="default"/>
          <w:lang w:val="en-US" w:eastAsia="zh-CN"/>
        </w:rPr>
        <w:t>DrugBank</w:t>
      </w:r>
      <w:r>
        <w:rPr>
          <w:rFonts w:hint="eastAsia"/>
          <w:lang w:val="en-US" w:eastAsia="zh-CN"/>
        </w:rPr>
        <w:t>上，去噪机制在</w:t>
      </w:r>
      <w:r>
        <w:rPr>
          <w:rFonts w:hint="default"/>
          <w:lang w:val="en-US" w:eastAsia="zh-CN"/>
        </w:rPr>
        <w:t>Macro-F1</w:t>
      </w:r>
      <w:r>
        <w:rPr>
          <w:rFonts w:hint="eastAsia"/>
          <w:lang w:val="en-US" w:eastAsia="zh-CN"/>
        </w:rPr>
        <w:t>上带来了微小但稳定的提升（</w:t>
      </w:r>
      <w:r>
        <w:rPr>
          <w:rFonts w:hint="default"/>
          <w:lang w:val="en-US" w:eastAsia="zh-CN"/>
        </w:rPr>
        <w:t>+0.03%</w:t>
      </w:r>
      <w:r>
        <w:rPr>
          <w:rFonts w:hint="eastAsia"/>
          <w:lang w:val="en-US" w:eastAsia="zh-CN"/>
        </w:rPr>
        <w:t>）；在</w:t>
      </w:r>
      <w:r>
        <w:rPr>
          <w:rFonts w:hint="default"/>
          <w:lang w:val="en-US" w:eastAsia="zh-CN"/>
        </w:rPr>
        <w:t>TWOSIDES</w:t>
      </w:r>
      <w:r>
        <w:rPr>
          <w:rFonts w:hint="eastAsia"/>
          <w:lang w:val="en-US" w:eastAsia="zh-CN"/>
        </w:rPr>
        <w:t>上，去噪机制导致</w:t>
      </w:r>
      <w:r>
        <w:rPr>
          <w:rFonts w:hint="default"/>
          <w:lang w:val="en-US" w:eastAsia="zh-CN"/>
        </w:rPr>
        <w:t>AUROC</w:t>
      </w:r>
      <w:r>
        <w:rPr>
          <w:rFonts w:hint="eastAsia"/>
          <w:lang w:val="en-US" w:eastAsia="zh-CN"/>
        </w:rPr>
        <w:t>（</w:t>
      </w:r>
      <w:r>
        <w:rPr>
          <w:rFonts w:hint="default"/>
          <w:lang w:val="en-US" w:eastAsia="zh-CN"/>
        </w:rPr>
        <w:t>-0.23%</w:t>
      </w:r>
      <w:r>
        <w:rPr>
          <w:rFonts w:hint="eastAsia"/>
          <w:lang w:val="en-US" w:eastAsia="zh-CN"/>
        </w:rPr>
        <w:t>）和</w:t>
      </w:r>
      <w:r>
        <w:rPr>
          <w:rFonts w:hint="default"/>
          <w:lang w:val="en-US" w:eastAsia="zh-CN"/>
        </w:rPr>
        <w:t>AUPRC</w:t>
      </w:r>
      <w:r>
        <w:rPr>
          <w:rFonts w:hint="eastAsia"/>
          <w:lang w:val="en-US" w:eastAsia="zh-CN"/>
        </w:rPr>
        <w:t>（</w:t>
      </w:r>
      <w:r>
        <w:rPr>
          <w:rFonts w:hint="default"/>
          <w:lang w:val="en-US" w:eastAsia="zh-CN"/>
        </w:rPr>
        <w:t>-0.32%</w:t>
      </w:r>
      <w:r>
        <w:rPr>
          <w:rFonts w:hint="eastAsia"/>
          <w:lang w:val="en-US" w:eastAsia="zh-CN"/>
        </w:rPr>
        <w:t>）均有所下降。说明去噪机制对存在噪声且类别分布不均衡的数据集（如</w:t>
      </w:r>
      <w:r>
        <w:rPr>
          <w:rFonts w:hint="default"/>
          <w:lang w:val="en-US" w:eastAsia="zh-CN"/>
        </w:rPr>
        <w:t>DrugBank</w:t>
      </w:r>
      <w:r>
        <w:rPr>
          <w:rFonts w:hint="eastAsia"/>
          <w:lang w:val="en-US" w:eastAsia="zh-CN"/>
        </w:rPr>
        <w:t>）更有价值，而对已具有相对清晰结构的数据集（如</w:t>
      </w:r>
      <w:r>
        <w:rPr>
          <w:rFonts w:hint="default"/>
          <w:lang w:val="en-US" w:eastAsia="zh-CN"/>
        </w:rPr>
        <w:t>TWOSIDES</w:t>
      </w:r>
      <w:r>
        <w:rPr>
          <w:rFonts w:hint="eastAsia"/>
          <w:lang w:val="en-US" w:eastAsia="zh-CN"/>
        </w:rPr>
        <w:t>）则可能带来轻微的性能损失。</w:t>
      </w:r>
    </w:p>
    <w:p w14:paraId="0F6FFC4B">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在</w:t>
      </w:r>
      <w:r>
        <w:rPr>
          <w:rFonts w:hint="default"/>
          <w:lang w:val="en-US" w:eastAsia="zh-CN"/>
        </w:rPr>
        <w:t>DrugBank</w:t>
      </w:r>
      <w:r>
        <w:rPr>
          <w:rFonts w:hint="eastAsia"/>
          <w:lang w:val="en-US" w:eastAsia="zh-CN"/>
        </w:rPr>
        <w:t>上，补全机制带来了</w:t>
      </w:r>
      <w:r>
        <w:rPr>
          <w:rFonts w:hint="default"/>
          <w:lang w:val="en-US" w:eastAsia="zh-CN"/>
        </w:rPr>
        <w:t>ACC</w:t>
      </w:r>
      <w:r>
        <w:rPr>
          <w:rFonts w:hint="eastAsia"/>
          <w:lang w:val="en-US" w:eastAsia="zh-CN"/>
        </w:rPr>
        <w:t>（</w:t>
      </w:r>
      <w:r>
        <w:rPr>
          <w:rFonts w:hint="default"/>
          <w:lang w:val="en-US" w:eastAsia="zh-CN"/>
        </w:rPr>
        <w:t>+0.03%</w:t>
      </w:r>
      <w:r>
        <w:rPr>
          <w:rFonts w:hint="eastAsia"/>
          <w:lang w:val="en-US" w:eastAsia="zh-CN"/>
        </w:rPr>
        <w:t>）和</w:t>
      </w:r>
      <w:r>
        <w:rPr>
          <w:rFonts w:hint="default"/>
          <w:lang w:val="en-US" w:eastAsia="zh-CN"/>
        </w:rPr>
        <w:t>Cohen's κ</w:t>
      </w:r>
      <w:r>
        <w:rPr>
          <w:rFonts w:hint="eastAsia"/>
          <w:lang w:val="en-US" w:eastAsia="zh-CN"/>
        </w:rPr>
        <w:t>（</w:t>
      </w:r>
      <w:r>
        <w:rPr>
          <w:rFonts w:hint="default"/>
          <w:lang w:val="en-US" w:eastAsia="zh-CN"/>
        </w:rPr>
        <w:t>+0.04%</w:t>
      </w:r>
      <w:r>
        <w:rPr>
          <w:rFonts w:hint="eastAsia"/>
          <w:lang w:val="en-US" w:eastAsia="zh-CN"/>
        </w:rPr>
        <w:t>）的微小提升，但</w:t>
      </w:r>
      <w:r>
        <w:rPr>
          <w:rFonts w:hint="default"/>
          <w:lang w:val="en-US" w:eastAsia="zh-CN"/>
        </w:rPr>
        <w:t>Macro-F1</w:t>
      </w:r>
      <w:r>
        <w:rPr>
          <w:rFonts w:hint="eastAsia"/>
          <w:lang w:val="en-US" w:eastAsia="zh-CN"/>
        </w:rPr>
        <w:t>显著下降（</w:t>
      </w:r>
      <w:r>
        <w:rPr>
          <w:rFonts w:hint="default"/>
          <w:lang w:val="en-US" w:eastAsia="zh-CN"/>
        </w:rPr>
        <w:t>-1.49%</w:t>
      </w:r>
      <w:r>
        <w:rPr>
          <w:rFonts w:hint="eastAsia"/>
          <w:lang w:val="en-US" w:eastAsia="zh-CN"/>
        </w:rPr>
        <w:t>）；在</w:t>
      </w:r>
      <w:r>
        <w:rPr>
          <w:rFonts w:hint="default"/>
          <w:lang w:val="en-US" w:eastAsia="zh-CN"/>
        </w:rPr>
        <w:t>TWOSIDES</w:t>
      </w:r>
      <w:r>
        <w:rPr>
          <w:rFonts w:hint="eastAsia"/>
          <w:lang w:val="en-US" w:eastAsia="zh-CN"/>
        </w:rPr>
        <w:t>上，补全机制的激活比例极低，对</w:t>
      </w:r>
      <w:r>
        <w:rPr>
          <w:rFonts w:hint="default"/>
          <w:lang w:val="en-US" w:eastAsia="zh-CN"/>
        </w:rPr>
        <w:t>AUROC</w:t>
      </w:r>
      <w:r>
        <w:rPr>
          <w:rFonts w:hint="eastAsia"/>
          <w:lang w:val="en-US" w:eastAsia="zh-CN"/>
        </w:rPr>
        <w:t>和</w:t>
      </w:r>
      <w:r>
        <w:rPr>
          <w:rFonts w:hint="default"/>
          <w:lang w:val="en-US" w:eastAsia="zh-CN"/>
        </w:rPr>
        <w:t>AUPRC</w:t>
      </w:r>
      <w:r>
        <w:rPr>
          <w:rFonts w:hint="eastAsia"/>
          <w:lang w:val="en-US" w:eastAsia="zh-CN"/>
        </w:rPr>
        <w:t>的影响微小。说明补全机制在图结构较稀疏（如</w:t>
      </w:r>
      <w:r>
        <w:rPr>
          <w:rFonts w:hint="default"/>
          <w:lang w:val="en-US" w:eastAsia="zh-CN"/>
        </w:rPr>
        <w:t>DrugBank</w:t>
      </w:r>
      <w:r>
        <w:rPr>
          <w:rFonts w:hint="eastAsia"/>
          <w:lang w:val="en-US" w:eastAsia="zh-CN"/>
        </w:rPr>
        <w:t>，药物对在</w:t>
      </w:r>
      <w:r>
        <w:rPr>
          <w:rFonts w:hint="default"/>
          <w:lang w:val="en-US" w:eastAsia="zh-CN"/>
        </w:rPr>
        <w:t>KG</w:t>
      </w:r>
      <w:r>
        <w:rPr>
          <w:rFonts w:hint="eastAsia"/>
          <w:lang w:val="en-US" w:eastAsia="zh-CN"/>
        </w:rPr>
        <w:t>中的连通性相对较低）的场景下具有一定价值，而在图结构已相对稠密的场景下（如</w:t>
      </w:r>
      <w:r>
        <w:rPr>
          <w:rFonts w:hint="default"/>
          <w:lang w:val="en-US" w:eastAsia="zh-CN"/>
        </w:rPr>
        <w:t>TWOSIDES</w:t>
      </w:r>
      <w:r>
        <w:rPr>
          <w:rFonts w:hint="eastAsia"/>
          <w:lang w:val="en-US" w:eastAsia="zh-CN"/>
        </w:rPr>
        <w:t>）其边际贡献极为有限。</w:t>
      </w:r>
    </w:p>
    <w:p w14:paraId="43575F9E">
      <w:pPr>
        <w:pStyle w:val="168"/>
        <w:bidi w:val="0"/>
        <w:rPr>
          <w:lang w:val="en-US"/>
        </w:rPr>
      </w:pPr>
      <w:bookmarkStart w:id="13" w:name="_Toc478831548"/>
      <w:bookmarkEnd w:id="13"/>
      <w:r>
        <w:rPr>
          <w:color w:val="000000"/>
        </w:rPr>
        <w:t>5.3.2 研究结论的理论意义</w:t>
      </w:r>
    </w:p>
    <w:p w14:paraId="581D181A">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本章的消融实验对图结构学习中的去噪与补全机制进行了首次系统性的定量解耦，揭示了以下核心规律：</w:t>
      </w:r>
    </w:p>
    <w:p w14:paraId="2E38909B">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去噪更有利于提升类别均衡意义下的预测性能，补全更有利于增强整体预测一致性。二者在多分类任务（</w:t>
      </w:r>
      <w:r>
        <w:rPr>
          <w:rFonts w:hint="default"/>
          <w:lang w:val="en-US" w:eastAsia="zh-CN"/>
        </w:rPr>
        <w:t>DrugBank</w:t>
      </w:r>
      <w:r>
        <w:rPr>
          <w:rFonts w:hint="eastAsia"/>
          <w:lang w:val="en-US" w:eastAsia="zh-CN"/>
        </w:rPr>
        <w:t>）中呈现出可量化的差异化贡献模式。</w:t>
      </w:r>
    </w:p>
    <w:p w14:paraId="2595F722">
      <w:pPr>
        <w:pStyle w:val="170"/>
        <w:keepNext w:val="0"/>
        <w:keepLines w:val="0"/>
        <w:pageBreakBefore w:val="0"/>
        <w:widowControl w:val="0"/>
        <w:kinsoku/>
        <w:wordWrap/>
        <w:overflowPunct/>
        <w:topLinePunct w:val="0"/>
        <w:autoSpaceDE/>
        <w:autoSpaceDN/>
        <w:bidi w:val="0"/>
        <w:adjustRightInd w:val="0"/>
        <w:snapToGrid w:val="0"/>
        <w:textAlignment w:val="auto"/>
        <w:outlineLvl w:val="9"/>
        <w:rPr>
          <w:lang w:val="en-US"/>
        </w:rPr>
      </w:pPr>
      <w:r>
        <w:rPr>
          <w:rFonts w:hint="eastAsia"/>
          <w:lang w:val="en-US" w:eastAsia="zh-CN"/>
        </w:rPr>
        <w:t>图结构学习机制的有效性具有数据集依赖性。在图结构相对稀疏、类别分布不均衡的场景（</w:t>
      </w:r>
      <w:r>
        <w:rPr>
          <w:rFonts w:hint="default"/>
          <w:lang w:val="en-US" w:eastAsia="zh-CN"/>
        </w:rPr>
        <w:t>DrugBank</w:t>
      </w:r>
      <w:r>
        <w:rPr>
          <w:rFonts w:hint="eastAsia"/>
          <w:lang w:val="en-US" w:eastAsia="zh-CN"/>
        </w:rPr>
        <w:t>）中，图结构优化能带来有益的性能补偿；而在图结构已相对充分、关联模式较为清晰的场景（</w:t>
      </w:r>
      <w:r>
        <w:rPr>
          <w:rFonts w:hint="default"/>
          <w:lang w:val="en-US" w:eastAsia="zh-CN"/>
        </w:rPr>
        <w:t>TWOSIDES</w:t>
      </w:r>
      <w:r>
        <w:rPr>
          <w:rFonts w:hint="eastAsia"/>
          <w:lang w:val="en-US" w:eastAsia="zh-CN"/>
        </w:rPr>
        <w:t>）中，引入额外的结构操作并不一定带来增益。</w:t>
      </w:r>
    </w:p>
    <w:p w14:paraId="6F99EA5E">
      <w:pPr>
        <w:pStyle w:val="170"/>
        <w:keepNext w:val="0"/>
        <w:keepLines w:val="0"/>
        <w:pageBreakBefore w:val="0"/>
        <w:widowControl w:val="0"/>
        <w:kinsoku/>
        <w:wordWrap/>
        <w:overflowPunct/>
        <w:topLinePunct w:val="0"/>
        <w:autoSpaceDE/>
        <w:autoSpaceDN/>
        <w:bidi w:val="0"/>
        <w:adjustRightInd w:val="0"/>
        <w:snapToGrid w:val="0"/>
        <w:textAlignment w:val="auto"/>
        <w:outlineLvl w:val="9"/>
        <w:rPr>
          <w:rFonts w:ascii="Times New Roman" w:hAnsi="Times New Roman"/>
          <w:szCs w:val="24"/>
        </w:rPr>
      </w:pPr>
      <w:r>
        <w:rPr>
          <w:rFonts w:hint="eastAsia"/>
          <w:lang w:val="en-US" w:eastAsia="zh-CN"/>
        </w:rPr>
        <w:t>这一发现说明去噪与补全并非简单的叠加关系，而是在不同任务场景中呈现出不同的边际贡献和适用性边界，为</w:t>
      </w:r>
      <w:r>
        <w:rPr>
          <w:rFonts w:hint="default"/>
          <w:lang w:val="en-US" w:eastAsia="zh-CN"/>
        </w:rPr>
        <w:t>KnowDDI</w:t>
      </w:r>
      <w:r>
        <w:rPr>
          <w:rFonts w:hint="eastAsia"/>
          <w:lang w:val="en-US" w:eastAsia="zh-CN"/>
        </w:rPr>
        <w:t>图结构学习机制的功能解耦与性能分析提供了实证依据。</w:t>
      </w:r>
    </w:p>
    <w:p w14:paraId="47934D9A">
      <w:pPr>
        <w:pStyle w:val="167"/>
        <w:bidi w:val="0"/>
        <w:rPr>
          <w:lang w:val="en-US"/>
        </w:rPr>
      </w:pPr>
      <w:bookmarkStart w:id="20" w:name="_Toc874129550"/>
      <w:bookmarkEnd w:id="20"/>
      <w:r>
        <w:rPr>
          <w:color w:val="000000"/>
        </w:rPr>
        <w:t>5.4 分级强度实验结果</w:t>
      </w:r>
    </w:p>
    <w:p w14:paraId="678F89AC">
      <w:pPr>
        <w:pStyle w:val="170"/>
        <w:bidi w:val="0"/>
        <w:rPr>
          <w:lang w:val="en-US"/>
        </w:rPr>
      </w:pPr>
      <w:r>
        <w:rPr>
          <w:rFonts w:hint="eastAsia"/>
          <w:lang w:val="en-US" w:eastAsia="zh-CN"/>
        </w:rPr>
        <w:t>为系统分析不同压缩强度下的性能变化趋势，在正式方案评测前先开展分级强度实验，结果如下。</w:t>
      </w:r>
    </w:p>
    <w:p w14:paraId="69DE149D">
      <w:pPr>
        <w:pStyle w:val="168"/>
        <w:bidi w:val="0"/>
        <w:rPr>
          <w:lang w:val="en-US"/>
        </w:rPr>
      </w:pPr>
      <w:bookmarkStart w:id="21" w:name="_Toc559717723"/>
      <w:bookmarkEnd w:id="21"/>
      <w:r>
        <w:rPr>
          <w:color w:val="000000"/>
        </w:rPr>
        <w:t>5.4.1 不同子图稀疏强度（DrugBank）</w:t>
      </w:r>
    </w:p>
    <w:p w14:paraId="6C4760C1">
      <w:pPr>
        <w:pStyle w:val="169"/>
        <w:bidi w:val="0"/>
        <w:rPr>
          <w:lang w:val="en-US"/>
        </w:rPr>
      </w:pPr>
      <w:r>
        <w:rPr>
          <w:color w:val="000000"/>
        </w:rPr>
        <w:t>表5.4 不同子图稀疏强度下的性能变化（DrugBank）</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65"/>
        <w:gridCol w:w="1465"/>
        <w:gridCol w:w="1465"/>
        <w:gridCol w:w="1465"/>
        <w:gridCol w:w="1465"/>
        <w:gridCol w:w="1465"/>
      </w:tblGrid>
      <w:tr w14:paraId="16FF500E">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EA8D85C">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子图保留比例</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41E979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Macro-F1</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18F02D8">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ACC</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B800FD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Cohen's κ</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E3B5F2B">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推理时长</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1939A37">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显存峰值</w:t>
            </w:r>
          </w:p>
        </w:tc>
      </w:tr>
      <w:tr w14:paraId="6CBB0955">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2395418">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100%</w:t>
            </w:r>
            <w:r>
              <w:rPr>
                <w:rFonts w:hint="eastAsia" w:ascii="Times New Roman" w:hAnsi="Times New Roman" w:eastAsia="宋体" w:cs="宋体"/>
                <w:color w:val="000000"/>
                <w:kern w:val="0"/>
                <w:sz w:val="21"/>
                <w:szCs w:val="22"/>
                <w:lang w:val="en-US" w:eastAsia="zh-CN" w:bidi="ar"/>
              </w:rPr>
              <w:t>（基线）</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F75BE2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91.49 ± 0.11</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7CA2C6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92.86 ± 0.09</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34C125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91.53 ± 0.08</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FE3E55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3m58.400s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D98BF7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1667 MiB</w:t>
            </w:r>
          </w:p>
        </w:tc>
      </w:tr>
      <w:tr w14:paraId="41CAE70E">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5F0515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80%</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61803BD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91.22 ± 0.08</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FA38ED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92.79 ± 0.05</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EA68C2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91.44 ± 0.09</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6B30724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3m21.518s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0D622E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1428 MiB</w:t>
            </w:r>
          </w:p>
        </w:tc>
      </w:tr>
      <w:tr w14:paraId="570797AA">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A6BE9D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60%</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498EC5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90.96 ± 0.09</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0328229">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92.70 ± 0.07</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0781C1B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91.33 ± 0.06</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89B7AE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2m54.773s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D16C4A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1216 MiB</w:t>
            </w:r>
          </w:p>
        </w:tc>
      </w:tr>
      <w:tr w14:paraId="096171D7">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6E51DA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40%</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644455F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90.31 ± 0.10</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0439931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92.43 ± 0.06</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FC0190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91.02 ± 0.07</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5B666FD">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2m26.184s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2588CD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1012 MiB</w:t>
            </w:r>
          </w:p>
        </w:tc>
      </w:tr>
      <w:tr w14:paraId="0112E32E">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C9CC4F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20%</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0EA1537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88.94 ± 0.12</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8BE7A5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91.88 ± 0.07</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2E27A3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90.37 ± 0.08</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11F71E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2m02.915s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B20010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836 MiB</w:t>
            </w:r>
          </w:p>
        </w:tc>
      </w:tr>
    </w:tbl>
    <w:p w14:paraId="4FEE1BEB">
      <w:pPr>
        <w:rPr>
          <w:rFonts w:hint="default"/>
          <w:lang w:val="en-US"/>
        </w:rPr>
      </w:pPr>
    </w:p>
    <w:p w14:paraId="57311553">
      <w:pPr>
        <w:rPr>
          <w:rFonts w:hint="default"/>
          <w:lang w:val="en-US"/>
        </w:rPr>
      </w:pPr>
      <w:r>
        <w:rPr>
          <w:rFonts w:hint="default"/>
          <w:lang w:val="en-US"/>
        </w:rPr>
        <w:drawing>
          <wp:inline distT="0" distB="0" distL="114300" distR="114300">
            <wp:extent cx="5375910" cy="3032760"/>
            <wp:effectExtent l="0" t="0" r="8890" b="15240"/>
            <wp:docPr id="1" name="图片 1" descr="fig5-1_drugbank_sp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5-1_drugbank_sparse"/>
                    <pic:cNvPicPr>
                      <a:picLocks noChangeAspect="1"/>
                    </pic:cNvPicPr>
                  </pic:nvPicPr>
                  <pic:blipFill>
                    <a:blip r:embed="rId11"/>
                    <a:srcRect t="6667"/>
                    <a:stretch>
                      <a:fillRect/>
                    </a:stretch>
                  </pic:blipFill>
                  <pic:spPr>
                    <a:xfrm>
                      <a:off x="0" y="0"/>
                      <a:ext cx="5375910" cy="3032760"/>
                    </a:xfrm>
                    <a:prstGeom prst="rect">
                      <a:avLst/>
                    </a:prstGeom>
                  </pic:spPr>
                </pic:pic>
              </a:graphicData>
            </a:graphic>
          </wp:inline>
        </w:drawing>
      </w:r>
    </w:p>
    <w:p w14:paraId="634915A9">
      <w:pPr>
        <w:pStyle w:val="169"/>
        <w:bidi w:val="0"/>
        <w:rPr>
          <w:rFonts w:hint="default"/>
          <w:lang w:val="en-US" w:eastAsia="zh-CN"/>
        </w:rPr>
      </w:pPr>
      <w:r>
        <w:rPr>
          <w:color w:val="000000"/>
        </w:rPr>
        <w:t>图5.3 DrugBank子图稀疏强度-精度/效率曲线图</w:t>
      </w:r>
    </w:p>
    <w:p w14:paraId="4CB6EC41">
      <w:pPr>
        <w:pStyle w:val="170"/>
        <w:bidi w:val="0"/>
        <w:rPr>
          <w:lang w:val="en-US"/>
        </w:rPr>
      </w:pPr>
      <w:r>
        <w:t>从表5.</w:t>
      </w:r>
      <w:r>
        <w:rPr>
          <w:color w:val="000000"/>
        </w:rPr>
        <w:t>4和图5.3</w:t>
      </w:r>
      <w:r>
        <w:t>可以观察到，随子图保留比例从100%降至20%，DrugBank上的Macro-F1从91.49逐步下降至88.94，下降幅度约2.55%；推理时长从3m58s缩短至2m03s，节省约48.4%；显存峰值从1667 MiB降至836 MiB，节省约49.9%。60%保留比例是精度与效率的较优折中点，精度损失控制在0.6%以内，同时显存节省约27%。</w:t>
      </w:r>
    </w:p>
    <w:p w14:paraId="28A5D655">
      <w:pPr>
        <w:pStyle w:val="168"/>
        <w:bidi w:val="0"/>
        <w:rPr>
          <w:lang w:val="en-US"/>
        </w:rPr>
      </w:pPr>
      <w:bookmarkStart w:id="22" w:name="_Toc1197396601"/>
      <w:bookmarkEnd w:id="22"/>
      <w:r>
        <w:rPr>
          <w:color w:val="000000"/>
        </w:rPr>
        <w:t>5.4.2 不同特征压缩强度（DrugBank）</w:t>
      </w:r>
    </w:p>
    <w:p w14:paraId="128573E9">
      <w:pPr>
        <w:pStyle w:val="169"/>
        <w:bidi w:val="0"/>
        <w:rPr>
          <w:lang w:val="en-US"/>
        </w:rPr>
      </w:pPr>
      <w:r>
        <w:rPr>
          <w:color w:val="000000"/>
        </w:rPr>
        <w:t>表5.5 不同特征压缩强度下的性能变化（DrugBank）</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65"/>
        <w:gridCol w:w="1465"/>
        <w:gridCol w:w="1465"/>
        <w:gridCol w:w="1465"/>
        <w:gridCol w:w="1465"/>
        <w:gridCol w:w="1465"/>
      </w:tblGrid>
      <w:tr w14:paraId="3777934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862F9BC">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特征保留比例</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826654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Macro-F1</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22DF6C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ACC</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906F22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Cohen's κ</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3345494">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推理时长</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7DB1D9C">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显存峰值</w:t>
            </w:r>
          </w:p>
        </w:tc>
      </w:tr>
      <w:tr w14:paraId="6814EAE4">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694767F">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100%</w:t>
            </w:r>
            <w:r>
              <w:rPr>
                <w:rFonts w:hint="eastAsia" w:ascii="Times New Roman" w:hAnsi="Times New Roman" w:eastAsia="宋体" w:cs="宋体"/>
                <w:color w:val="000000"/>
                <w:kern w:val="0"/>
                <w:sz w:val="21"/>
                <w:szCs w:val="22"/>
                <w:lang w:val="en-US" w:eastAsia="zh-CN" w:bidi="ar"/>
              </w:rPr>
              <w:t>（基线）</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817873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91.49 ± 0.11</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A893D19">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92.86 ± 0.09</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DFC0D3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91.53 ± 0.08</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67C5A9F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3m58.400s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85F785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1667 MiB</w:t>
            </w:r>
          </w:p>
        </w:tc>
      </w:tr>
      <w:tr w14:paraId="3F3BF6E3">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3E7E01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75%</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BF2133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91.18 ± 0.08</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458A57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92.82 ± 0.05</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86F60F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91.48 ± 0.06</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B3532D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2m41.227s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04ECF16D">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1086 MiB</w:t>
            </w:r>
          </w:p>
        </w:tc>
      </w:tr>
      <w:tr w14:paraId="521474B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65EFAF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50%</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62CBA9C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90.91 ± 0.07</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633ADD8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92.80 ± 0.04</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495611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91.46 ± 0.05</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F639D2F">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2m04.046s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A7D97C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859 MiB</w:t>
            </w:r>
          </w:p>
        </w:tc>
      </w:tr>
      <w:tr w14:paraId="59E67159">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D26D0F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25%</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331612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89.97 ± 0.10</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0E1F98B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92.31 ± 0.06</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812C5D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90.88 ± 0.07</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9FC705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1m54.362s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7EC135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742 MiB</w:t>
            </w:r>
          </w:p>
        </w:tc>
      </w:tr>
    </w:tbl>
    <w:p w14:paraId="245B81A1">
      <w:pPr>
        <w:rPr>
          <w:rFonts w:hint="eastAsia"/>
          <w:lang w:val="en-US" w:eastAsia="zh-CN"/>
        </w:rPr>
      </w:pPr>
    </w:p>
    <w:p w14:paraId="433B585E">
      <w:pPr>
        <w:rPr>
          <w:rFonts w:hint="eastAsia"/>
          <w:lang w:val="en-US" w:eastAsia="zh-CN"/>
        </w:rPr>
      </w:pPr>
      <w:r>
        <w:rPr>
          <w:rFonts w:hint="eastAsia"/>
          <w:lang w:val="en-US" w:eastAsia="zh-CN"/>
        </w:rPr>
        <w:drawing>
          <wp:inline distT="0" distB="0" distL="114300" distR="114300">
            <wp:extent cx="5269230" cy="2976245"/>
            <wp:effectExtent l="0" t="0" r="13970" b="20955"/>
            <wp:docPr id="9" name="图片 9" descr="fig5-2_drugbank_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5-2_drugbank_feature"/>
                    <pic:cNvPicPr>
                      <a:picLocks noChangeAspect="1"/>
                    </pic:cNvPicPr>
                  </pic:nvPicPr>
                  <pic:blipFill>
                    <a:blip r:embed="rId12"/>
                    <a:srcRect t="6671"/>
                    <a:stretch>
                      <a:fillRect/>
                    </a:stretch>
                  </pic:blipFill>
                  <pic:spPr>
                    <a:xfrm>
                      <a:off x="0" y="0"/>
                      <a:ext cx="5269230" cy="2976245"/>
                    </a:xfrm>
                    <a:prstGeom prst="rect">
                      <a:avLst/>
                    </a:prstGeom>
                  </pic:spPr>
                </pic:pic>
              </a:graphicData>
            </a:graphic>
          </wp:inline>
        </w:drawing>
      </w:r>
    </w:p>
    <w:p w14:paraId="5C9E8448">
      <w:pPr>
        <w:pStyle w:val="169"/>
        <w:bidi w:val="0"/>
        <w:rPr>
          <w:rFonts w:hint="default"/>
          <w:lang w:val="en-US" w:eastAsia="zh-CN"/>
        </w:rPr>
      </w:pPr>
      <w:r>
        <w:rPr>
          <w:color w:val="000000"/>
        </w:rPr>
        <w:t>图5.4 DrugBank特征压缩强度-精度/效率曲线图</w:t>
      </w:r>
    </w:p>
    <w:p w14:paraId="6208146A">
      <w:pPr>
        <w:pStyle w:val="170"/>
        <w:bidi w:val="0"/>
        <w:rPr>
          <w:lang w:val="en-US"/>
        </w:rPr>
      </w:pPr>
      <w:r>
        <w:rPr>
          <w:rFonts w:hint="eastAsia"/>
          <w:lang w:val="en-US" w:eastAsia="zh-CN"/>
        </w:rPr>
        <w:t>特征压缩对精度的影响相对温和，</w:t>
      </w:r>
      <w:r>
        <w:rPr>
          <w:rFonts w:hint="default"/>
          <w:lang w:val="en-US" w:eastAsia="zh-CN"/>
        </w:rPr>
        <w:t>50%</w:t>
      </w:r>
      <w:r>
        <w:rPr>
          <w:rFonts w:hint="eastAsia"/>
          <w:lang w:val="en-US" w:eastAsia="zh-CN"/>
        </w:rPr>
        <w:t>压缩比例下</w:t>
      </w:r>
      <w:r>
        <w:rPr>
          <w:rFonts w:hint="default"/>
          <w:lang w:val="en-US" w:eastAsia="zh-CN"/>
        </w:rPr>
        <w:t>Macro-F1</w:t>
      </w:r>
      <w:r>
        <w:rPr>
          <w:rFonts w:hint="eastAsia"/>
          <w:lang w:val="en-US" w:eastAsia="zh-CN"/>
        </w:rPr>
        <w:t>仅下降</w:t>
      </w:r>
      <w:r>
        <w:rPr>
          <w:rFonts w:hint="default"/>
          <w:lang w:val="en-US" w:eastAsia="zh-CN"/>
        </w:rPr>
        <w:t>0.58%</w:t>
      </w:r>
      <w:r>
        <w:rPr>
          <w:rFonts w:hint="eastAsia"/>
          <w:lang w:val="en-US" w:eastAsia="zh-CN"/>
        </w:rPr>
        <w:t>，但推理时长节省约</w:t>
      </w:r>
      <w:r>
        <w:rPr>
          <w:rFonts w:hint="default"/>
          <w:lang w:val="en-US" w:eastAsia="zh-CN"/>
        </w:rPr>
        <w:t>47.9%</w:t>
      </w:r>
      <w:r>
        <w:rPr>
          <w:rFonts w:hint="eastAsia"/>
          <w:lang w:val="en-US" w:eastAsia="zh-CN"/>
        </w:rPr>
        <w:t>，显存峰值节省约</w:t>
      </w:r>
      <w:r>
        <w:rPr>
          <w:rFonts w:hint="default"/>
          <w:lang w:val="en-US" w:eastAsia="zh-CN"/>
        </w:rPr>
        <w:t>48.5%</w:t>
      </w:r>
      <w:r>
        <w:rPr>
          <w:rFonts w:hint="eastAsia"/>
          <w:lang w:val="en-US" w:eastAsia="zh-CN"/>
        </w:rPr>
        <w:t>，是精度损失最小的单一轻量化方案。</w:t>
      </w:r>
    </w:p>
    <w:p w14:paraId="06BE2CE8">
      <w:pPr>
        <w:pStyle w:val="168"/>
        <w:bidi w:val="0"/>
        <w:rPr>
          <w:lang w:val="en-US"/>
        </w:rPr>
      </w:pPr>
      <w:bookmarkStart w:id="23" w:name="_Toc575416970"/>
      <w:bookmarkEnd w:id="23"/>
      <w:r>
        <w:rPr>
          <w:color w:val="000000"/>
        </w:rPr>
        <w:t>5.4.3 不同子图稀疏强度（TWOSIDES）</w:t>
      </w:r>
    </w:p>
    <w:p w14:paraId="7B3F16E0">
      <w:pPr>
        <w:pStyle w:val="169"/>
        <w:bidi w:val="0"/>
        <w:rPr>
          <w:lang w:val="en-US"/>
        </w:rPr>
      </w:pPr>
      <w:r>
        <w:rPr>
          <w:color w:val="000000"/>
        </w:rPr>
        <w:t>表5.6 不同子图稀疏强度下的性能变化（TWOSIDES）</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58"/>
        <w:gridCol w:w="1758"/>
        <w:gridCol w:w="1758"/>
        <w:gridCol w:w="1758"/>
        <w:gridCol w:w="1758"/>
      </w:tblGrid>
      <w:tr w14:paraId="6E0C5BF7">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1B9EF183">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子图保留比例</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31FC8B49">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AUROC</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152A6C8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AUPRC</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705457E7">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推理时长</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7640E6C3">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显存峰值</w:t>
            </w:r>
          </w:p>
        </w:tc>
      </w:tr>
      <w:tr w14:paraId="796FB730">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4AE9812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100%</w:t>
            </w:r>
            <w:r>
              <w:rPr>
                <w:rFonts w:hint="eastAsia" w:ascii="Times New Roman" w:hAnsi="Times New Roman" w:eastAsia="宋体" w:cs="宋体"/>
                <w:color w:val="000000"/>
                <w:kern w:val="0"/>
                <w:sz w:val="21"/>
                <w:szCs w:val="22"/>
                <w:lang w:val="en-US" w:eastAsia="zh-CN" w:bidi="ar"/>
              </w:rPr>
              <w:t>（基线）</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23AFCD08">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95.44 ± 0.01</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7BEEA0D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94.11 ± 0.07</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692AEDE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6m13.810s</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4CCF35FD">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911 MiB</w:t>
            </w:r>
          </w:p>
        </w:tc>
      </w:tr>
      <w:tr w14:paraId="679F7A62">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1DA23E7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80%</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578F40C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95.42 ± 0.02</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72662B39">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94.06 ± 0.07</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44D65F1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6m01.442s</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019C760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907 MiB</w:t>
            </w:r>
          </w:p>
        </w:tc>
      </w:tr>
      <w:tr w14:paraId="7AD18427">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256FCBE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60%</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62E3419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95.38 ± 0.05</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4146B9A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94.00 ± 0.09</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2D8FE25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5m52.871s</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6482EC09">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904 MiB</w:t>
            </w:r>
          </w:p>
        </w:tc>
      </w:tr>
      <w:tr w14:paraId="0A921383">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221AE22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40%</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4947848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95.26 ± 0.07</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62808EFF">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93.82 ± 0.06</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42672C1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5m41.266s</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0BB0A00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899 MiB</w:t>
            </w:r>
          </w:p>
        </w:tc>
      </w:tr>
      <w:tr w14:paraId="545D9EF9">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6843BA0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20%</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335619D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94.98 ± 0.04</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79ACB94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93.37 ± 0.08</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2124FF7F">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5m28.914s</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00332F9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892 MiB</w:t>
            </w:r>
          </w:p>
        </w:tc>
      </w:tr>
    </w:tbl>
    <w:p w14:paraId="55101BFD">
      <w:pPr>
        <w:pStyle w:val="170"/>
        <w:bidi w:val="0"/>
        <w:rPr>
          <w:lang w:val="en-US"/>
        </w:rPr>
      </w:pPr>
      <w:r>
        <w:rPr>
          <w:rFonts w:hint="default"/>
          <w:lang w:val="en-US" w:eastAsia="zh-CN"/>
        </w:rPr>
        <w:t>TWOSIDES</w:t>
      </w:r>
      <w:r>
        <w:rPr>
          <w:rFonts w:hint="eastAsia"/>
          <w:lang w:val="en-US" w:eastAsia="zh-CN"/>
        </w:rPr>
        <w:t>对子图稀疏采样的敏感度显著低于</w:t>
      </w:r>
      <w:r>
        <w:rPr>
          <w:rFonts w:hint="default"/>
          <w:lang w:val="en-US" w:eastAsia="zh-CN"/>
        </w:rPr>
        <w:t>DrugBank</w:t>
      </w:r>
      <w:r>
        <w:rPr>
          <w:rFonts w:hint="eastAsia"/>
          <w:lang w:val="en-US" w:eastAsia="zh-CN"/>
        </w:rPr>
        <w:t>。即使在</w:t>
      </w:r>
      <w:r>
        <w:rPr>
          <w:rFonts w:hint="default"/>
          <w:lang w:val="en-US" w:eastAsia="zh-CN"/>
        </w:rPr>
        <w:t>60%</w:t>
      </w:r>
      <w:r>
        <w:rPr>
          <w:rFonts w:hint="eastAsia"/>
          <w:lang w:val="en-US" w:eastAsia="zh-CN"/>
        </w:rPr>
        <w:t>保留比例下，</w:t>
      </w:r>
      <w:r>
        <w:rPr>
          <w:rFonts w:hint="default"/>
          <w:lang w:val="en-US" w:eastAsia="zh-CN"/>
        </w:rPr>
        <w:t>AUROC</w:t>
      </w:r>
      <w:r>
        <w:rPr>
          <w:rFonts w:hint="eastAsia"/>
          <w:lang w:val="en-US" w:eastAsia="zh-CN"/>
        </w:rPr>
        <w:t>仅下降</w:t>
      </w:r>
      <w:r>
        <w:rPr>
          <w:rFonts w:hint="default"/>
          <w:lang w:val="en-US" w:eastAsia="zh-CN"/>
        </w:rPr>
        <w:t>0.06%</w:t>
      </w:r>
      <w:r>
        <w:rPr>
          <w:rFonts w:hint="eastAsia"/>
          <w:lang w:val="en-US" w:eastAsia="zh-CN"/>
        </w:rPr>
        <w:t>，</w:t>
      </w:r>
      <w:r>
        <w:rPr>
          <w:rFonts w:hint="default"/>
          <w:lang w:val="en-US" w:eastAsia="zh-CN"/>
        </w:rPr>
        <w:t>AUPRC</w:t>
      </w:r>
      <w:r>
        <w:rPr>
          <w:rFonts w:hint="eastAsia"/>
          <w:lang w:val="en-US" w:eastAsia="zh-CN"/>
        </w:rPr>
        <w:t>下降</w:t>
      </w:r>
      <w:r>
        <w:rPr>
          <w:rFonts w:hint="default"/>
          <w:lang w:val="en-US" w:eastAsia="zh-CN"/>
        </w:rPr>
        <w:t>0.11%</w:t>
      </w:r>
      <w:r>
        <w:rPr>
          <w:rFonts w:hint="eastAsia"/>
          <w:lang w:val="en-US" w:eastAsia="zh-CN"/>
        </w:rPr>
        <w:t>，而效率收益相对有限（推理时长节省约</w:t>
      </w:r>
      <w:r>
        <w:rPr>
          <w:rFonts w:hint="default"/>
          <w:lang w:val="en-US" w:eastAsia="zh-CN"/>
        </w:rPr>
        <w:t>5.6%</w:t>
      </w:r>
      <w:r>
        <w:rPr>
          <w:rFonts w:hint="eastAsia"/>
          <w:lang w:val="en-US" w:eastAsia="zh-CN"/>
        </w:rPr>
        <w:t>，显存节省约</w:t>
      </w:r>
      <w:r>
        <w:rPr>
          <w:rFonts w:hint="default"/>
          <w:lang w:val="en-US" w:eastAsia="zh-CN"/>
        </w:rPr>
        <w:t>0.8%</w:t>
      </w:r>
      <w:r>
        <w:rPr>
          <w:rFonts w:hint="eastAsia"/>
          <w:lang w:val="en-US" w:eastAsia="zh-CN"/>
        </w:rPr>
        <w:t>）。这一现象说明</w:t>
      </w:r>
      <w:r>
        <w:rPr>
          <w:rFonts w:hint="default"/>
          <w:lang w:val="en-US" w:eastAsia="zh-CN"/>
        </w:rPr>
        <w:t>TWOSIDES</w:t>
      </w:r>
      <w:r>
        <w:rPr>
          <w:rFonts w:hint="eastAsia"/>
          <w:lang w:val="en-US" w:eastAsia="zh-CN"/>
        </w:rPr>
        <w:t>的子图在结构上具有较强的冗余性，稀疏采样后仍能保留大部分有效拓扑信息。</w:t>
      </w:r>
    </w:p>
    <w:p w14:paraId="1B8BF7DB">
      <w:pPr>
        <w:pStyle w:val="168"/>
        <w:bidi w:val="0"/>
        <w:rPr>
          <w:lang w:val="en-US"/>
        </w:rPr>
      </w:pPr>
      <w:bookmarkStart w:id="24" w:name="_Toc914152349"/>
      <w:bookmarkEnd w:id="24"/>
      <w:r>
        <w:rPr>
          <w:color w:val="000000"/>
        </w:rPr>
        <w:t>5.4.4 不同特征压缩强度（TWOSIDES）</w:t>
      </w:r>
    </w:p>
    <w:p w14:paraId="62B7FCC8">
      <w:pPr>
        <w:pStyle w:val="169"/>
        <w:bidi w:val="0"/>
        <w:rPr>
          <w:lang w:val="en-US"/>
        </w:rPr>
      </w:pPr>
      <w:r>
        <w:rPr>
          <w:color w:val="000000"/>
        </w:rPr>
        <w:t>表5.7 不同特征压缩强度下的性能变化（TWOSIDES）</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58"/>
        <w:gridCol w:w="1758"/>
        <w:gridCol w:w="1758"/>
        <w:gridCol w:w="1758"/>
        <w:gridCol w:w="1758"/>
      </w:tblGrid>
      <w:tr w14:paraId="745A8AD1">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36365B82">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特征保留比例</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6D61E8C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AUROC</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4F08FCFF">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AUPRC</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309BBC1F">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推理时长</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00894124">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显存峰值</w:t>
            </w:r>
          </w:p>
        </w:tc>
      </w:tr>
      <w:tr w14:paraId="66881DD0">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6D4E27D8">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100%</w:t>
            </w:r>
            <w:r>
              <w:rPr>
                <w:rFonts w:hint="eastAsia" w:ascii="Times New Roman" w:hAnsi="Times New Roman" w:eastAsia="宋体" w:cs="宋体"/>
                <w:color w:val="000000"/>
                <w:kern w:val="0"/>
                <w:sz w:val="21"/>
                <w:szCs w:val="22"/>
                <w:lang w:val="en-US" w:eastAsia="zh-CN" w:bidi="ar"/>
              </w:rPr>
              <w:t>（基线）</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7FF094E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95.44 ± 0.01</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0CFB7D2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94.11 ± 0.07</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77A01E0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6m13.810s</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107F6E3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911 MiB</w:t>
            </w:r>
          </w:p>
        </w:tc>
      </w:tr>
      <w:tr w14:paraId="1CF14320">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1EDDCA4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75%</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18E0B43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95.37 ± 0.03</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1E25594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94.03 ± 0.05</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061D8A3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5m51.084s</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1E903A5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904 MiB</w:t>
            </w:r>
          </w:p>
        </w:tc>
      </w:tr>
      <w:tr w14:paraId="14367F91">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22D93DA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50%</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07EF7D5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95.28 ± 0.06</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4FB5C07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93.90 ± 0.06</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5FF7167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5m35.716s</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792FE04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898 MiB</w:t>
            </w:r>
          </w:p>
        </w:tc>
      </w:tr>
      <w:tr w14:paraId="0EEF95BF">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3519F04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25%</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09302E8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95.04 ± 0.04</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4A3D0CF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93.51 ± 0.08</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70C9767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5m20.337s</w:t>
            </w:r>
          </w:p>
        </w:tc>
        <w:tc>
          <w:tcPr>
            <w:tcW w:w="1758" w:type="dxa"/>
            <w:tcBorders>
              <w:top w:val="single" w:color="auto" w:sz="4" w:space="0"/>
              <w:left w:val="single" w:color="auto" w:sz="4" w:space="0"/>
              <w:bottom w:val="single" w:color="auto" w:sz="4" w:space="0"/>
              <w:right w:val="single" w:color="auto" w:sz="4" w:space="0"/>
            </w:tcBorders>
            <w:shd w:val="clear" w:color="auto" w:fill="auto"/>
            <w:vAlign w:val="top"/>
          </w:tcPr>
          <w:p w14:paraId="56BAEA49">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889 MiB</w:t>
            </w:r>
          </w:p>
        </w:tc>
      </w:tr>
    </w:tbl>
    <w:p w14:paraId="6932B923">
      <w:pPr>
        <w:pStyle w:val="170"/>
        <w:bidi w:val="0"/>
        <w:rPr>
          <w:lang w:val="en-US"/>
        </w:rPr>
      </w:pPr>
      <w:r>
        <w:rPr>
          <w:rFonts w:hint="default"/>
          <w:lang w:val="en-US" w:eastAsia="zh-CN"/>
        </w:rPr>
        <w:t>TWOSIDES</w:t>
      </w:r>
      <w:r>
        <w:rPr>
          <w:rFonts w:hint="eastAsia"/>
          <w:lang w:val="en-US" w:eastAsia="zh-CN"/>
        </w:rPr>
        <w:t>上的特征压缩同样表现出较低的精度敏感度，</w:t>
      </w:r>
      <w:r>
        <w:rPr>
          <w:rFonts w:hint="default"/>
          <w:lang w:val="en-US" w:eastAsia="zh-CN"/>
        </w:rPr>
        <w:t>50%</w:t>
      </w:r>
      <w:r>
        <w:rPr>
          <w:rFonts w:hint="eastAsia"/>
          <w:lang w:val="en-US" w:eastAsia="zh-CN"/>
        </w:rPr>
        <w:t>压缩比例下</w:t>
      </w:r>
      <w:r>
        <w:rPr>
          <w:rFonts w:hint="default"/>
          <w:lang w:val="en-US" w:eastAsia="zh-CN"/>
        </w:rPr>
        <w:t>AUROC</w:t>
      </w:r>
      <w:r>
        <w:rPr>
          <w:rFonts w:hint="eastAsia"/>
          <w:lang w:val="en-US" w:eastAsia="zh-CN"/>
        </w:rPr>
        <w:t>仅下降</w:t>
      </w:r>
      <w:r>
        <w:rPr>
          <w:rFonts w:hint="default"/>
          <w:lang w:val="en-US" w:eastAsia="zh-CN"/>
        </w:rPr>
        <w:t>0.16%</w:t>
      </w:r>
      <w:r>
        <w:rPr>
          <w:rFonts w:hint="eastAsia"/>
          <w:lang w:val="en-US" w:eastAsia="zh-CN"/>
        </w:rPr>
        <w:t>，但推理时长和显存的节省幅度也较为有限，说明</w:t>
      </w:r>
      <w:r>
        <w:rPr>
          <w:rFonts w:hint="default"/>
          <w:lang w:val="en-US" w:eastAsia="zh-CN"/>
        </w:rPr>
        <w:t>TWOSIDES</w:t>
      </w:r>
      <w:r>
        <w:rPr>
          <w:rFonts w:hint="eastAsia"/>
          <w:lang w:val="en-US" w:eastAsia="zh-CN"/>
        </w:rPr>
        <w:t>本身的计算开销主要来源于数据规模而非特征维度。</w:t>
      </w:r>
    </w:p>
    <w:p w14:paraId="199579D0">
      <w:pPr>
        <w:pStyle w:val="167"/>
        <w:bidi w:val="0"/>
        <w:rPr>
          <w:lang w:val="en-US"/>
        </w:rPr>
      </w:pPr>
      <w:bookmarkStart w:id="25" w:name="_Toc1060519005"/>
      <w:bookmarkEnd w:id="25"/>
      <w:r>
        <w:rPr>
          <w:color w:val="000000"/>
        </w:rPr>
        <w:t>5.5 正式轻量化方案评测结果</w:t>
      </w:r>
    </w:p>
    <w:p w14:paraId="5108A895">
      <w:pPr>
        <w:pStyle w:val="168"/>
        <w:bidi w:val="0"/>
        <w:rPr>
          <w:lang w:val="en-US"/>
        </w:rPr>
      </w:pPr>
      <w:bookmarkStart w:id="26" w:name="_Toc28646935"/>
      <w:bookmarkEnd w:id="26"/>
      <w:r>
        <w:rPr>
          <w:color w:val="000000"/>
        </w:rPr>
        <w:t>5.5.1 DrugBank轻量化评测结果</w:t>
      </w:r>
    </w:p>
    <w:p w14:paraId="418797B2">
      <w:pPr>
        <w:pStyle w:val="170"/>
        <w:bidi w:val="0"/>
        <w:rPr>
          <w:lang w:val="en-US"/>
        </w:rPr>
      </w:pPr>
      <w:r>
        <w:rPr>
          <w:rFonts w:hint="eastAsia"/>
          <w:lang w:val="en-US" w:eastAsia="zh-CN"/>
        </w:rPr>
        <w:t>基于分级实验的分析，选取子图保留比例</w:t>
      </w:r>
      <w:r>
        <w:rPr>
          <w:rFonts w:hint="default"/>
          <w:lang w:val="en-US" w:eastAsia="zh-CN"/>
        </w:rPr>
        <w:t>60%</w:t>
      </w:r>
      <w:r>
        <w:rPr>
          <w:rFonts w:hint="eastAsia"/>
          <w:lang w:val="en-US" w:eastAsia="zh-CN"/>
        </w:rPr>
        <w:t>（方案A）、特征保留比例</w:t>
      </w:r>
      <w:r>
        <w:rPr>
          <w:rFonts w:hint="default"/>
          <w:lang w:val="en-US" w:eastAsia="zh-CN"/>
        </w:rPr>
        <w:t>50%</w:t>
      </w:r>
      <w:r>
        <w:rPr>
          <w:rFonts w:hint="eastAsia"/>
          <w:lang w:val="en-US" w:eastAsia="zh-CN"/>
        </w:rPr>
        <w:t>（方案B）和两者联合（方案C）进行正式方案评测。</w:t>
      </w:r>
    </w:p>
    <w:p w14:paraId="141F4818">
      <w:pPr>
        <w:pStyle w:val="169"/>
        <w:bidi w:val="0"/>
        <w:rPr>
          <w:lang w:val="en-US"/>
        </w:rPr>
      </w:pPr>
      <w:r>
        <w:rPr>
          <w:color w:val="000000"/>
        </w:rPr>
        <w:t>表5.8 DrugBank轻量化方案评测结果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24"/>
        <w:gridCol w:w="1240"/>
        <w:gridCol w:w="1248"/>
        <w:gridCol w:w="1245"/>
        <w:gridCol w:w="1249"/>
        <w:gridCol w:w="1253"/>
        <w:gridCol w:w="1245"/>
      </w:tblGrid>
      <w:tr w14:paraId="1C8F49D3">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20B0EA2F">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实验名</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064D515F">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方案</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3D5B60A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Macro-F1</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30785B39">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ACC</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761E5228">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Cohen's κ</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3610A559">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推理时长</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0869F8AE">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显存峰值</w:t>
            </w:r>
          </w:p>
        </w:tc>
      </w:tr>
      <w:tr w14:paraId="361C970A">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30910796">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基线</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3A96984A">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无压缩</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065C01D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91.49 ± 0.11</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2B8A97C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92.86 ± 0.09</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3451FA2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91.53 ± 0.08</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6ADE68A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3m58.400s</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675C99B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1667 MiB</w:t>
            </w:r>
          </w:p>
        </w:tc>
      </w:tr>
      <w:tr w14:paraId="69974C5F">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745EC7F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Sparse-only</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16A0AB80">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仅子图稀疏</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6358FFF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89.76 ± 0.08</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2791891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92.90 ± 0.07</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17239A1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91.59 ± 0.11</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2F55481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2m31.414s</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22120379">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935 MiB</w:t>
            </w:r>
          </w:p>
        </w:tc>
      </w:tr>
      <w:tr w14:paraId="402810DA">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04109B48">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Feature-only</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2C2062AB">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仅特征压缩</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229A4F1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90.91 ± 0.07</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3320925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92.80 ± 0.05</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2E7043A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91.46 ± 0.09</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76F76DE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2m04.046s</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5BF98BE8">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859 MiB</w:t>
            </w:r>
          </w:p>
        </w:tc>
      </w:tr>
      <w:tr w14:paraId="4B4261F0">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1C05E2E7">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Sparse+Feature</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6A9BCB50">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协同优化</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6DE5085F">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89.89 ± 0.10</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137FF959">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92.64 ± 0.08</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4B3A940D">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91.28 ± 0.06</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65A455A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2m03.977s</w:t>
            </w:r>
          </w:p>
        </w:tc>
        <w:tc>
          <w:tcPr>
            <w:tcW w:w="1255" w:type="dxa"/>
            <w:tcBorders>
              <w:top w:val="single" w:color="auto" w:sz="4" w:space="0"/>
              <w:left w:val="single" w:color="auto" w:sz="4" w:space="0"/>
              <w:bottom w:val="single" w:color="auto" w:sz="4" w:space="0"/>
              <w:right w:val="single" w:color="auto" w:sz="4" w:space="0"/>
            </w:tcBorders>
            <w:shd w:val="clear" w:color="auto" w:fill="auto"/>
            <w:vAlign w:val="top"/>
          </w:tcPr>
          <w:p w14:paraId="6D2EF77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859 MiB</w:t>
            </w:r>
          </w:p>
        </w:tc>
      </w:tr>
    </w:tbl>
    <w:p w14:paraId="4A5B7CE8">
      <w:pPr>
        <w:pStyle w:val="168"/>
        <w:bidi w:val="0"/>
        <w:rPr>
          <w:lang w:val="en-US"/>
        </w:rPr>
      </w:pPr>
      <w:bookmarkStart w:id="27" w:name="_Toc432699617"/>
      <w:bookmarkEnd w:id="27"/>
      <w:r>
        <w:rPr>
          <w:color w:val="000000"/>
        </w:rPr>
        <w:t>5.5.2 DrugBank结果分析</w:t>
      </w:r>
    </w:p>
    <w:p w14:paraId="7CA3709D">
      <w:pPr>
        <w:pStyle w:val="170"/>
        <w:bidi w:val="0"/>
        <w:rPr>
          <w:lang w:val="en-US"/>
        </w:rPr>
      </w:pPr>
      <w:r>
        <w:rPr>
          <w:rFonts w:hint="eastAsia"/>
          <w:lang w:val="en-US" w:eastAsia="zh-CN"/>
        </w:rPr>
        <w:t>仅子图稀疏（</w:t>
      </w:r>
      <w:r>
        <w:rPr>
          <w:rFonts w:hint="default"/>
          <w:lang w:val="en-US" w:eastAsia="zh-CN"/>
        </w:rPr>
        <w:t>Sparse-only</w:t>
      </w:r>
      <w:r>
        <w:rPr>
          <w:rFonts w:hint="eastAsia"/>
          <w:lang w:val="en-US" w:eastAsia="zh-CN"/>
        </w:rPr>
        <w:t>）：</w:t>
      </w:r>
      <w:r>
        <w:rPr>
          <w:rFonts w:hint="default"/>
          <w:lang w:val="en-US" w:eastAsia="zh-CN"/>
        </w:rPr>
        <w:t>Macro-F1</w:t>
      </w:r>
      <w:r>
        <w:rPr>
          <w:rFonts w:hint="eastAsia"/>
          <w:lang w:val="en-US" w:eastAsia="zh-CN"/>
        </w:rPr>
        <w:t>下降</w:t>
      </w:r>
      <w:r>
        <w:rPr>
          <w:rFonts w:hint="default"/>
          <w:lang w:val="en-US" w:eastAsia="zh-CN"/>
        </w:rPr>
        <w:t>1.73%</w:t>
      </w:r>
      <w:r>
        <w:rPr>
          <w:rFonts w:hint="eastAsia"/>
          <w:lang w:val="en-US" w:eastAsia="zh-CN"/>
        </w:rPr>
        <w:t>，但</w:t>
      </w:r>
      <w:r>
        <w:rPr>
          <w:rFonts w:hint="default"/>
          <w:lang w:val="en-US" w:eastAsia="zh-CN"/>
        </w:rPr>
        <w:t>ACC</w:t>
      </w:r>
      <w:r>
        <w:rPr>
          <w:rFonts w:hint="eastAsia"/>
          <w:lang w:val="en-US" w:eastAsia="zh-CN"/>
        </w:rPr>
        <w:t>（</w:t>
      </w:r>
      <w:r>
        <w:rPr>
          <w:rFonts w:hint="default"/>
          <w:lang w:val="en-US" w:eastAsia="zh-CN"/>
        </w:rPr>
        <w:t>92.90</w:t>
      </w:r>
      <w:r>
        <w:rPr>
          <w:rFonts w:hint="eastAsia"/>
          <w:lang w:val="en-US" w:eastAsia="zh-CN"/>
        </w:rPr>
        <w:t>）和</w:t>
      </w:r>
      <w:r>
        <w:rPr>
          <w:rFonts w:hint="default"/>
          <w:lang w:val="en-US" w:eastAsia="zh-CN"/>
        </w:rPr>
        <w:t>Cohen's κ</w:t>
      </w:r>
      <w:r>
        <w:rPr>
          <w:rFonts w:hint="eastAsia"/>
          <w:lang w:val="en-US" w:eastAsia="zh-CN"/>
        </w:rPr>
        <w:t>（</w:t>
      </w:r>
      <w:r>
        <w:rPr>
          <w:rFonts w:hint="default"/>
          <w:lang w:val="en-US" w:eastAsia="zh-CN"/>
        </w:rPr>
        <w:t>91.59</w:t>
      </w:r>
      <w:r>
        <w:rPr>
          <w:rFonts w:hint="eastAsia"/>
          <w:lang w:val="en-US" w:eastAsia="zh-CN"/>
        </w:rPr>
        <w:t>）略优于基线，推理时长节省约</w:t>
      </w:r>
      <w:r>
        <w:rPr>
          <w:rFonts w:hint="default"/>
          <w:lang w:val="en-US" w:eastAsia="zh-CN"/>
        </w:rPr>
        <w:t>36.5%</w:t>
      </w:r>
      <w:r>
        <w:rPr>
          <w:rFonts w:hint="eastAsia"/>
          <w:lang w:val="en-US" w:eastAsia="zh-CN"/>
        </w:rPr>
        <w:t>，显存峰值节省约</w:t>
      </w:r>
      <w:r>
        <w:rPr>
          <w:rFonts w:hint="default"/>
          <w:lang w:val="en-US" w:eastAsia="zh-CN"/>
        </w:rPr>
        <w:t>43.9%</w:t>
      </w:r>
      <w:r>
        <w:rPr>
          <w:rFonts w:hint="eastAsia"/>
          <w:lang w:val="en-US" w:eastAsia="zh-CN"/>
        </w:rPr>
        <w:t>。该方案对整体预测一致性影响较小，但对类别均衡性能有一定损伤。</w:t>
      </w:r>
    </w:p>
    <w:p w14:paraId="33BA3C04">
      <w:pPr>
        <w:pStyle w:val="170"/>
        <w:bidi w:val="0"/>
        <w:rPr>
          <w:lang w:val="en-US"/>
        </w:rPr>
      </w:pPr>
      <w:r>
        <w:rPr>
          <w:rFonts w:hint="eastAsia"/>
          <w:lang w:val="en-US" w:eastAsia="zh-CN"/>
        </w:rPr>
        <w:t>仅特征压缩（</w:t>
      </w:r>
      <w:r>
        <w:rPr>
          <w:rFonts w:hint="default"/>
          <w:lang w:val="en-US" w:eastAsia="zh-CN"/>
        </w:rPr>
        <w:t>Feature-only</w:t>
      </w:r>
      <w:r>
        <w:rPr>
          <w:rFonts w:hint="eastAsia"/>
          <w:lang w:val="en-US" w:eastAsia="zh-CN"/>
        </w:rPr>
        <w:t>）：</w:t>
      </w:r>
      <w:r>
        <w:rPr>
          <w:rFonts w:hint="default"/>
          <w:lang w:val="en-US" w:eastAsia="zh-CN"/>
        </w:rPr>
        <w:t>Macro-F1</w:t>
      </w:r>
      <w:r>
        <w:rPr>
          <w:rFonts w:hint="eastAsia"/>
          <w:lang w:val="en-US" w:eastAsia="zh-CN"/>
        </w:rPr>
        <w:t>下降</w:t>
      </w:r>
      <w:r>
        <w:rPr>
          <w:rFonts w:hint="default"/>
          <w:lang w:val="en-US" w:eastAsia="zh-CN"/>
        </w:rPr>
        <w:t>0.58%</w:t>
      </w:r>
      <w:r>
        <w:rPr>
          <w:rFonts w:hint="eastAsia"/>
          <w:lang w:val="en-US" w:eastAsia="zh-CN"/>
        </w:rPr>
        <w:t>，</w:t>
      </w:r>
      <w:r>
        <w:rPr>
          <w:rFonts w:hint="default"/>
          <w:lang w:val="en-US" w:eastAsia="zh-CN"/>
        </w:rPr>
        <w:t>ACC</w:t>
      </w:r>
      <w:r>
        <w:rPr>
          <w:rFonts w:hint="eastAsia"/>
          <w:lang w:val="en-US" w:eastAsia="zh-CN"/>
        </w:rPr>
        <w:t>和</w:t>
      </w:r>
      <w:r>
        <w:rPr>
          <w:rFonts w:hint="default"/>
          <w:lang w:val="en-US" w:eastAsia="zh-CN"/>
        </w:rPr>
        <w:t>Cohen's κ</w:t>
      </w:r>
      <w:r>
        <w:rPr>
          <w:rFonts w:hint="eastAsia"/>
          <w:lang w:val="en-US" w:eastAsia="zh-CN"/>
        </w:rPr>
        <w:t>的变化极小，推理时长节省约</w:t>
      </w:r>
      <w:r>
        <w:rPr>
          <w:rFonts w:hint="default"/>
          <w:lang w:val="en-US" w:eastAsia="zh-CN"/>
        </w:rPr>
        <w:t>47.9%</w:t>
      </w:r>
      <w:r>
        <w:rPr>
          <w:rFonts w:hint="eastAsia"/>
          <w:lang w:val="en-US" w:eastAsia="zh-CN"/>
        </w:rPr>
        <w:t>，显存峰值节省约</w:t>
      </w:r>
      <w:r>
        <w:rPr>
          <w:rFonts w:hint="default"/>
          <w:lang w:val="en-US" w:eastAsia="zh-CN"/>
        </w:rPr>
        <w:t>48.5%</w:t>
      </w:r>
      <w:r>
        <w:rPr>
          <w:rFonts w:hint="eastAsia"/>
          <w:lang w:val="en-US" w:eastAsia="zh-CN"/>
        </w:rPr>
        <w:t>。特征压缩方案在精度保持和效率提升之间取得了最佳折中，是</w:t>
      </w:r>
      <w:r>
        <w:rPr>
          <w:rFonts w:hint="default"/>
          <w:lang w:val="en-US" w:eastAsia="zh-CN"/>
        </w:rPr>
        <w:t>DrugBank</w:t>
      </w:r>
      <w:r>
        <w:rPr>
          <w:rFonts w:hint="eastAsia"/>
          <w:lang w:val="en-US" w:eastAsia="zh-CN"/>
        </w:rPr>
        <w:t>上推荐的轻量化优先策略。</w:t>
      </w:r>
    </w:p>
    <w:p w14:paraId="13608354">
      <w:pPr>
        <w:pStyle w:val="170"/>
        <w:bidi w:val="0"/>
        <w:rPr>
          <w:lang w:val="en-US"/>
        </w:rPr>
      </w:pPr>
      <w:r>
        <w:rPr>
          <w:rFonts w:hint="eastAsia"/>
          <w:lang w:val="en-US" w:eastAsia="zh-CN"/>
        </w:rPr>
        <w:t>协同优化（</w:t>
      </w:r>
      <w:r>
        <w:rPr>
          <w:rFonts w:hint="default"/>
          <w:lang w:val="en-US" w:eastAsia="zh-CN"/>
        </w:rPr>
        <w:t>Sparse+Feature</w:t>
      </w:r>
      <w:r>
        <w:rPr>
          <w:rFonts w:hint="eastAsia"/>
          <w:lang w:val="en-US" w:eastAsia="zh-CN"/>
        </w:rPr>
        <w:t>）：</w:t>
      </w:r>
      <w:r>
        <w:rPr>
          <w:rFonts w:hint="default"/>
          <w:lang w:val="en-US" w:eastAsia="zh-CN"/>
        </w:rPr>
        <w:t>Macro-F1</w:t>
      </w:r>
      <w:r>
        <w:rPr>
          <w:rFonts w:hint="eastAsia"/>
          <w:lang w:val="en-US" w:eastAsia="zh-CN"/>
        </w:rPr>
        <w:t>下降</w:t>
      </w:r>
      <w:r>
        <w:rPr>
          <w:rFonts w:hint="default"/>
          <w:lang w:val="en-US" w:eastAsia="zh-CN"/>
        </w:rPr>
        <w:t>1.60%</w:t>
      </w:r>
      <w:r>
        <w:rPr>
          <w:rFonts w:hint="eastAsia"/>
          <w:lang w:val="en-US" w:eastAsia="zh-CN"/>
        </w:rPr>
        <w:t>，</w:t>
      </w:r>
      <w:r>
        <w:rPr>
          <w:rFonts w:hint="default"/>
          <w:lang w:val="en-US" w:eastAsia="zh-CN"/>
        </w:rPr>
        <w:t>ACC</w:t>
      </w:r>
      <w:r>
        <w:rPr>
          <w:rFonts w:hint="eastAsia"/>
          <w:lang w:val="en-US" w:eastAsia="zh-CN"/>
        </w:rPr>
        <w:t>和</w:t>
      </w:r>
      <w:r>
        <w:rPr>
          <w:rFonts w:hint="default"/>
          <w:lang w:val="en-US" w:eastAsia="zh-CN"/>
        </w:rPr>
        <w:t>Cohen's κ</w:t>
      </w:r>
      <w:r>
        <w:rPr>
          <w:rFonts w:hint="eastAsia"/>
          <w:lang w:val="en-US" w:eastAsia="zh-CN"/>
        </w:rPr>
        <w:t>略有下降，推理时长节省约</w:t>
      </w:r>
      <w:r>
        <w:rPr>
          <w:rFonts w:hint="default"/>
          <w:lang w:val="en-US" w:eastAsia="zh-CN"/>
        </w:rPr>
        <w:t>48.0%</w:t>
      </w:r>
      <w:r>
        <w:rPr>
          <w:rFonts w:hint="eastAsia"/>
          <w:lang w:val="en-US" w:eastAsia="zh-CN"/>
        </w:rPr>
        <w:t>，显存峰值节省约</w:t>
      </w:r>
      <w:r>
        <w:rPr>
          <w:rFonts w:hint="default"/>
          <w:lang w:val="en-US" w:eastAsia="zh-CN"/>
        </w:rPr>
        <w:t>48.5%</w:t>
      </w:r>
      <w:r>
        <w:rPr>
          <w:rFonts w:hint="eastAsia"/>
          <w:lang w:val="en-US" w:eastAsia="zh-CN"/>
        </w:rPr>
        <w:t>。协同优化在推理时长上未获得相比</w:t>
      </w:r>
      <w:r>
        <w:rPr>
          <w:rFonts w:hint="default"/>
          <w:lang w:val="en-US" w:eastAsia="zh-CN"/>
        </w:rPr>
        <w:t>Feature-only</w:t>
      </w:r>
      <w:r>
        <w:rPr>
          <w:rFonts w:hint="eastAsia"/>
          <w:lang w:val="en-US" w:eastAsia="zh-CN"/>
        </w:rPr>
        <w:t>的显著额外收益（两者推理时长相近），说明在</w:t>
      </w:r>
      <w:r>
        <w:rPr>
          <w:rFonts w:hint="default"/>
          <w:lang w:val="en-US" w:eastAsia="zh-CN"/>
        </w:rPr>
        <w:t>DrugBank</w:t>
      </w:r>
      <w:r>
        <w:rPr>
          <w:rFonts w:hint="eastAsia"/>
          <w:lang w:val="en-US" w:eastAsia="zh-CN"/>
        </w:rPr>
        <w:t>场景下，特征压缩已经是主要的推理瓶颈，而非子图规模。</w:t>
      </w:r>
    </w:p>
    <w:p w14:paraId="5FC8CAA1">
      <w:pPr>
        <w:pStyle w:val="168"/>
        <w:bidi w:val="0"/>
        <w:rPr>
          <w:lang w:val="en-US"/>
        </w:rPr>
      </w:pPr>
      <w:bookmarkStart w:id="28" w:name="_Toc1002834177"/>
      <w:bookmarkEnd w:id="28"/>
      <w:r>
        <w:rPr>
          <w:color w:val="000000"/>
        </w:rPr>
        <w:t>5.5.3 TWOSIDES轻量化评测结果</w:t>
      </w:r>
    </w:p>
    <w:p w14:paraId="00D580DA">
      <w:pPr>
        <w:pStyle w:val="169"/>
        <w:bidi w:val="0"/>
        <w:rPr>
          <w:lang w:val="en-US"/>
        </w:rPr>
      </w:pPr>
      <w:r>
        <w:rPr>
          <w:color w:val="000000"/>
        </w:rPr>
        <w:t>表5.9 TWOSIDES轻量化方案评测结果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24"/>
        <w:gridCol w:w="1465"/>
        <w:gridCol w:w="1465"/>
        <w:gridCol w:w="1465"/>
        <w:gridCol w:w="1465"/>
        <w:gridCol w:w="1465"/>
      </w:tblGrid>
      <w:tr w14:paraId="53929DCF">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DB6EB4F">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实验名</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B2A2F7B">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方案</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63B043A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AUROC</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5F4367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AUPRC</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6FF35E6E">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推理时长</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8077010">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显存峰值</w:t>
            </w:r>
          </w:p>
        </w:tc>
      </w:tr>
      <w:tr w14:paraId="1605E7B8">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E9A30BA">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基线</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DF1228F">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无压缩</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8F27CF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95.44 ± 0.01</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0808480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94.11 ± 0.07</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D638D7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6m13.810s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69D9B9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911 MiB</w:t>
            </w:r>
          </w:p>
        </w:tc>
      </w:tr>
      <w:tr w14:paraId="1AAE9BAB">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728708F">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Sparse-only</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00942520">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仅子图稀疏</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67C3F49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95.50 ± 0.03</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54E741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94.24 ± 0.09</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041A29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5m46.968s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2C2047F">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901 MiB</w:t>
            </w:r>
          </w:p>
        </w:tc>
      </w:tr>
      <w:tr w14:paraId="2E2F37B3">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A730376">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Feature-only</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0B2EB5C">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仅特征压缩</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25F2D94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95.28 ± 0.05</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8B62A8B">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93.90 ± 0.11</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0111F55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5m35.716s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33C39C7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898 MiB</w:t>
            </w:r>
          </w:p>
        </w:tc>
      </w:tr>
      <w:tr w14:paraId="6D17CB20">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97D6E6D">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Sparse+Feature</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14665466">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color w:val="000000"/>
                <w:kern w:val="0"/>
                <w:sz w:val="21"/>
                <w:szCs w:val="22"/>
                <w:lang w:val="en-US" w:eastAsia="zh-CN" w:bidi="ar"/>
              </w:rPr>
              <w:t>协同优化</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B55B25D">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95.40 ± 0.04</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7C552B4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94.01 ± 0.07</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521D2AFA">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5m37.807s</w:t>
            </w:r>
          </w:p>
        </w:tc>
        <w:tc>
          <w:tcPr>
            <w:tcW w:w="1465" w:type="dxa"/>
            <w:tcBorders>
              <w:top w:val="single" w:color="auto" w:sz="4" w:space="0"/>
              <w:left w:val="single" w:color="auto" w:sz="4" w:space="0"/>
              <w:bottom w:val="single" w:color="auto" w:sz="4" w:space="0"/>
              <w:right w:val="single" w:color="auto" w:sz="4" w:space="0"/>
            </w:tcBorders>
            <w:shd w:val="clear" w:color="auto" w:fill="auto"/>
            <w:vAlign w:val="top"/>
          </w:tcPr>
          <w:p w14:paraId="46BE509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903 MiB</w:t>
            </w:r>
          </w:p>
        </w:tc>
      </w:tr>
    </w:tbl>
    <w:p w14:paraId="30CE931A">
      <w:pPr>
        <w:pStyle w:val="168"/>
        <w:bidi w:val="0"/>
        <w:rPr>
          <w:lang w:val="en-US"/>
        </w:rPr>
      </w:pPr>
      <w:bookmarkStart w:id="29" w:name="_Toc1182351183"/>
      <w:bookmarkEnd w:id="29"/>
      <w:r>
        <w:rPr>
          <w:color w:val="000000"/>
        </w:rPr>
        <w:t>5.5.4 TWOSIDES结果分析</w:t>
      </w:r>
    </w:p>
    <w:p w14:paraId="3D00DE30">
      <w:pPr>
        <w:pStyle w:val="170"/>
        <w:bidi w:val="0"/>
        <w:rPr>
          <w:lang w:val="en-US"/>
        </w:rPr>
      </w:pPr>
      <w:r>
        <w:rPr>
          <w:rFonts w:hint="eastAsia"/>
          <w:lang w:val="en-US" w:eastAsia="zh-CN"/>
        </w:rPr>
        <w:t>仅子图稀疏（</w:t>
      </w:r>
      <w:r>
        <w:rPr>
          <w:rFonts w:hint="default"/>
          <w:lang w:val="en-US" w:eastAsia="zh-CN"/>
        </w:rPr>
        <w:t>Sparse-only</w:t>
      </w:r>
      <w:r>
        <w:rPr>
          <w:rFonts w:hint="eastAsia"/>
          <w:lang w:val="en-US" w:eastAsia="zh-CN"/>
        </w:rPr>
        <w:t>）：</w:t>
      </w:r>
      <w:r>
        <w:rPr>
          <w:rFonts w:hint="default"/>
          <w:lang w:val="en-US" w:eastAsia="zh-CN"/>
        </w:rPr>
        <w:t>AUROC</w:t>
      </w:r>
      <w:r>
        <w:rPr>
          <w:rFonts w:hint="eastAsia"/>
          <w:lang w:val="en-US" w:eastAsia="zh-CN"/>
        </w:rPr>
        <w:t>（</w:t>
      </w:r>
      <w:r>
        <w:rPr>
          <w:rFonts w:hint="default"/>
          <w:lang w:val="en-US" w:eastAsia="zh-CN"/>
        </w:rPr>
        <w:t>95.50</w:t>
      </w:r>
      <w:r>
        <w:rPr>
          <w:rFonts w:hint="eastAsia"/>
          <w:lang w:val="en-US" w:eastAsia="zh-CN"/>
        </w:rPr>
        <w:t>）和</w:t>
      </w:r>
      <w:r>
        <w:rPr>
          <w:rFonts w:hint="default"/>
          <w:lang w:val="en-US" w:eastAsia="zh-CN"/>
        </w:rPr>
        <w:t>AUPRC</w:t>
      </w:r>
      <w:r>
        <w:rPr>
          <w:rFonts w:hint="eastAsia"/>
          <w:lang w:val="en-US" w:eastAsia="zh-CN"/>
        </w:rPr>
        <w:t>（</w:t>
      </w:r>
      <w:r>
        <w:rPr>
          <w:rFonts w:hint="default"/>
          <w:lang w:val="en-US" w:eastAsia="zh-CN"/>
        </w:rPr>
        <w:t>94.24</w:t>
      </w:r>
      <w:r>
        <w:rPr>
          <w:rFonts w:hint="eastAsia"/>
          <w:lang w:val="en-US" w:eastAsia="zh-CN"/>
        </w:rPr>
        <w:t>）反而略高于基线，推理时长节省约</w:t>
      </w:r>
      <w:r>
        <w:rPr>
          <w:rFonts w:hint="default"/>
          <w:lang w:val="en-US" w:eastAsia="zh-CN"/>
        </w:rPr>
        <w:t>7.2%</w:t>
      </w:r>
      <w:r>
        <w:rPr>
          <w:rFonts w:hint="eastAsia"/>
          <w:lang w:val="en-US" w:eastAsia="zh-CN"/>
        </w:rPr>
        <w:t>，显存峰值节省约</w:t>
      </w:r>
      <w:r>
        <w:rPr>
          <w:rFonts w:hint="default"/>
          <w:lang w:val="en-US" w:eastAsia="zh-CN"/>
        </w:rPr>
        <w:t>1.1%</w:t>
      </w:r>
      <w:r>
        <w:rPr>
          <w:rFonts w:hint="eastAsia"/>
          <w:lang w:val="en-US" w:eastAsia="zh-CN"/>
        </w:rPr>
        <w:t>。</w:t>
      </w:r>
      <w:r>
        <w:rPr>
          <w:rFonts w:hint="default"/>
          <w:lang w:val="en-US" w:eastAsia="zh-CN"/>
        </w:rPr>
        <w:t>AUROC</w:t>
      </w:r>
      <w:r>
        <w:rPr>
          <w:rFonts w:hint="eastAsia"/>
          <w:lang w:val="en-US" w:eastAsia="zh-CN"/>
        </w:rPr>
        <w:t>和</w:t>
      </w:r>
      <w:r>
        <w:rPr>
          <w:rFonts w:hint="default"/>
          <w:lang w:val="en-US" w:eastAsia="zh-CN"/>
        </w:rPr>
        <w:t>AUPRC</w:t>
      </w:r>
      <w:r>
        <w:rPr>
          <w:rFonts w:hint="eastAsia"/>
          <w:lang w:val="en-US" w:eastAsia="zh-CN"/>
        </w:rPr>
        <w:t>小幅高于基线的现象可能与随机种子波动有关，结合标准差（</w:t>
      </w:r>
      <w:r>
        <w:rPr>
          <w:rFonts w:hint="default"/>
          <w:lang w:val="en-US" w:eastAsia="zh-CN"/>
        </w:rPr>
        <w:t>±0.03</w:t>
      </w:r>
      <w:r>
        <w:rPr>
          <w:rFonts w:hint="eastAsia"/>
          <w:lang w:val="en-US" w:eastAsia="zh-CN"/>
        </w:rPr>
        <w:t>）分析，两者在统计意义上无显著差异。</w:t>
      </w:r>
      <w:r>
        <w:rPr>
          <w:rFonts w:hint="default"/>
          <w:lang w:val="en-US" w:eastAsia="zh-CN"/>
        </w:rPr>
        <w:t>TWOSIDES</w:t>
      </w:r>
      <w:r>
        <w:rPr>
          <w:rFonts w:hint="eastAsia"/>
          <w:lang w:val="en-US" w:eastAsia="zh-CN"/>
        </w:rPr>
        <w:t>对子图稀疏采样的精度敏感度极低，但效率收益也相对有限。</w:t>
      </w:r>
    </w:p>
    <w:p w14:paraId="5F355F1A">
      <w:pPr>
        <w:pStyle w:val="170"/>
        <w:bidi w:val="0"/>
        <w:rPr>
          <w:lang w:val="en-US"/>
        </w:rPr>
      </w:pPr>
      <w:r>
        <w:rPr>
          <w:rFonts w:hint="eastAsia"/>
          <w:lang w:val="en-US" w:eastAsia="zh-CN"/>
        </w:rPr>
        <w:t>仅特征压缩（</w:t>
      </w:r>
      <w:r>
        <w:rPr>
          <w:rFonts w:hint="default"/>
          <w:lang w:val="en-US" w:eastAsia="zh-CN"/>
        </w:rPr>
        <w:t>Feature-only</w:t>
      </w:r>
      <w:r>
        <w:rPr>
          <w:rFonts w:hint="eastAsia"/>
          <w:lang w:val="en-US" w:eastAsia="zh-CN"/>
        </w:rPr>
        <w:t>）：</w:t>
      </w:r>
      <w:r>
        <w:rPr>
          <w:rFonts w:hint="default"/>
          <w:lang w:val="en-US" w:eastAsia="zh-CN"/>
        </w:rPr>
        <w:t>AUROC</w:t>
      </w:r>
      <w:r>
        <w:rPr>
          <w:rFonts w:hint="eastAsia"/>
          <w:lang w:val="en-US" w:eastAsia="zh-CN"/>
        </w:rPr>
        <w:t>下降</w:t>
      </w:r>
      <w:r>
        <w:rPr>
          <w:rFonts w:hint="default"/>
          <w:lang w:val="en-US" w:eastAsia="zh-CN"/>
        </w:rPr>
        <w:t>0.16%</w:t>
      </w:r>
      <w:r>
        <w:rPr>
          <w:rFonts w:hint="eastAsia"/>
          <w:lang w:val="en-US" w:eastAsia="zh-CN"/>
        </w:rPr>
        <w:t>，</w:t>
      </w:r>
      <w:r>
        <w:rPr>
          <w:rFonts w:hint="default"/>
          <w:lang w:val="en-US" w:eastAsia="zh-CN"/>
        </w:rPr>
        <w:t>AUPRC</w:t>
      </w:r>
      <w:r>
        <w:rPr>
          <w:rFonts w:hint="eastAsia"/>
          <w:lang w:val="en-US" w:eastAsia="zh-CN"/>
        </w:rPr>
        <w:t>下降</w:t>
      </w:r>
      <w:r>
        <w:rPr>
          <w:rFonts w:hint="default"/>
          <w:lang w:val="en-US" w:eastAsia="zh-CN"/>
        </w:rPr>
        <w:t>0.21%</w:t>
      </w:r>
      <w:r>
        <w:rPr>
          <w:rFonts w:hint="eastAsia"/>
          <w:lang w:val="en-US" w:eastAsia="zh-CN"/>
        </w:rPr>
        <w:t>，推理时长节省约</w:t>
      </w:r>
      <w:r>
        <w:rPr>
          <w:rFonts w:hint="default"/>
          <w:lang w:val="en-US" w:eastAsia="zh-CN"/>
        </w:rPr>
        <w:t>10.2%</w:t>
      </w:r>
      <w:r>
        <w:rPr>
          <w:rFonts w:hint="eastAsia"/>
          <w:lang w:val="en-US" w:eastAsia="zh-CN"/>
        </w:rPr>
        <w:t>，显存峰值节省约</w:t>
      </w:r>
      <w:r>
        <w:rPr>
          <w:rFonts w:hint="default"/>
          <w:lang w:val="en-US" w:eastAsia="zh-CN"/>
        </w:rPr>
        <w:t>1.4%</w:t>
      </w:r>
      <w:r>
        <w:rPr>
          <w:rFonts w:hint="eastAsia"/>
          <w:lang w:val="en-US" w:eastAsia="zh-CN"/>
        </w:rPr>
        <w:t>。特征压缩带来的精度影响仍在可接受范围内，但效率提升幅度同样有限。</w:t>
      </w:r>
    </w:p>
    <w:p w14:paraId="3D245CE5">
      <w:pPr>
        <w:pStyle w:val="170"/>
        <w:bidi w:val="0"/>
        <w:rPr>
          <w:lang w:val="en-US"/>
        </w:rPr>
      </w:pPr>
      <w:r>
        <w:rPr>
          <w:rFonts w:hint="eastAsia"/>
          <w:lang w:val="en-US" w:eastAsia="zh-CN"/>
        </w:rPr>
        <w:t>协同优化（</w:t>
      </w:r>
      <w:r>
        <w:rPr>
          <w:rFonts w:hint="default"/>
          <w:lang w:val="en-US" w:eastAsia="zh-CN"/>
        </w:rPr>
        <w:t>Sparse+Feature</w:t>
      </w:r>
      <w:r>
        <w:rPr>
          <w:rFonts w:hint="eastAsia"/>
          <w:lang w:val="en-US" w:eastAsia="zh-CN"/>
        </w:rPr>
        <w:t>）：</w:t>
      </w:r>
      <w:r>
        <w:rPr>
          <w:rFonts w:hint="default"/>
          <w:lang w:val="en-US" w:eastAsia="zh-CN"/>
        </w:rPr>
        <w:t>AUROC</w:t>
      </w:r>
      <w:r>
        <w:rPr>
          <w:rFonts w:hint="eastAsia"/>
          <w:lang w:val="en-US" w:eastAsia="zh-CN"/>
        </w:rPr>
        <w:t>（</w:t>
      </w:r>
      <w:r>
        <w:rPr>
          <w:rFonts w:hint="default"/>
          <w:lang w:val="en-US" w:eastAsia="zh-CN"/>
        </w:rPr>
        <w:t>95.40</w:t>
      </w:r>
      <w:r>
        <w:rPr>
          <w:rFonts w:hint="eastAsia"/>
          <w:lang w:val="en-US" w:eastAsia="zh-CN"/>
        </w:rPr>
        <w:t>）略低于基线（</w:t>
      </w:r>
      <w:r>
        <w:rPr>
          <w:rFonts w:hint="default"/>
          <w:lang w:val="en-US" w:eastAsia="zh-CN"/>
        </w:rPr>
        <w:t>95.44</w:t>
      </w:r>
      <w:r>
        <w:rPr>
          <w:rFonts w:hint="eastAsia"/>
          <w:lang w:val="en-US" w:eastAsia="zh-CN"/>
        </w:rPr>
        <w:t>），</w:t>
      </w:r>
      <w:r>
        <w:rPr>
          <w:rFonts w:hint="default"/>
          <w:lang w:val="en-US" w:eastAsia="zh-CN"/>
        </w:rPr>
        <w:t>AUPRC</w:t>
      </w:r>
      <w:r>
        <w:rPr>
          <w:rFonts w:hint="eastAsia"/>
          <w:lang w:val="en-US" w:eastAsia="zh-CN"/>
        </w:rPr>
        <w:t>（</w:t>
      </w:r>
      <w:r>
        <w:rPr>
          <w:rFonts w:hint="default"/>
          <w:lang w:val="en-US" w:eastAsia="zh-CN"/>
        </w:rPr>
        <w:t>94.01</w:t>
      </w:r>
      <w:r>
        <w:rPr>
          <w:rFonts w:hint="eastAsia"/>
          <w:lang w:val="en-US" w:eastAsia="zh-CN"/>
        </w:rPr>
        <w:t>）轻微下降，推理时长节省约</w:t>
      </w:r>
      <w:r>
        <w:rPr>
          <w:rFonts w:hint="default"/>
          <w:lang w:val="en-US" w:eastAsia="zh-CN"/>
        </w:rPr>
        <w:t>9.7%</w:t>
      </w:r>
      <w:r>
        <w:rPr>
          <w:rFonts w:hint="eastAsia"/>
          <w:lang w:val="en-US" w:eastAsia="zh-CN"/>
        </w:rPr>
        <w:t>，显存峰值节省约</w:t>
      </w:r>
      <w:r>
        <w:rPr>
          <w:rFonts w:hint="default"/>
          <w:lang w:val="en-US" w:eastAsia="zh-CN"/>
        </w:rPr>
        <w:t>0.9%</w:t>
      </w:r>
      <w:r>
        <w:rPr>
          <w:rFonts w:hint="eastAsia"/>
          <w:lang w:val="en-US" w:eastAsia="zh-CN"/>
        </w:rPr>
        <w:t>。协同优化未能在</w:t>
      </w:r>
      <w:r>
        <w:rPr>
          <w:rFonts w:hint="default"/>
          <w:lang w:val="en-US" w:eastAsia="zh-CN"/>
        </w:rPr>
        <w:t>TWOSIDES</w:t>
      </w:r>
      <w:r>
        <w:rPr>
          <w:rFonts w:hint="eastAsia"/>
          <w:lang w:val="en-US" w:eastAsia="zh-CN"/>
        </w:rPr>
        <w:t>上体现出明显优势，三类方案的效率收益均处于同一量级。</w:t>
      </w:r>
    </w:p>
    <w:p w14:paraId="628F197C">
      <w:pPr>
        <w:pStyle w:val="168"/>
        <w:bidi w:val="0"/>
        <w:rPr>
          <w:lang w:val="en-US"/>
        </w:rPr>
      </w:pPr>
      <w:bookmarkStart w:id="30" w:name="_Toc1110146990"/>
      <w:bookmarkEnd w:id="30"/>
      <w:r>
        <w:rPr>
          <w:color w:val="000000"/>
        </w:rPr>
        <w:t>5.5.5 轻量化综合评估</w:t>
      </w:r>
    </w:p>
    <w:p w14:paraId="79C375DC">
      <w:pPr>
        <w:pStyle w:val="169"/>
        <w:bidi w:val="0"/>
        <w:rPr>
          <w:lang w:val="en-US"/>
        </w:rPr>
      </w:pPr>
      <w:r>
        <w:rPr>
          <w:color w:val="000000"/>
        </w:rPr>
        <w:t>表5.10 DrugBank轻量化方案综合对比（相对于基线的变化率，%）</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97"/>
        <w:gridCol w:w="2197"/>
        <w:gridCol w:w="2197"/>
        <w:gridCol w:w="2197"/>
      </w:tblGrid>
      <w:tr w14:paraId="6362F96F">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0B7C52E1">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方案</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3E96801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b/>
                <w:bCs w:val="0"/>
                <w:color w:val="000000"/>
                <w:kern w:val="0"/>
                <w:sz w:val="21"/>
                <w:szCs w:val="22"/>
                <w:lang w:val="en-US" w:eastAsia="zh-CN" w:bidi="ar"/>
              </w:rPr>
              <w:t>Macro-F1</w:t>
            </w:r>
            <w:r>
              <w:rPr>
                <w:rFonts w:hint="eastAsia" w:ascii="Times New Roman" w:hAnsi="Times New Roman" w:eastAsia="宋体" w:cs="宋体"/>
                <w:b/>
                <w:bCs w:val="0"/>
                <w:color w:val="000000"/>
                <w:kern w:val="0"/>
                <w:sz w:val="21"/>
                <w:szCs w:val="22"/>
                <w:lang w:val="en-US" w:eastAsia="zh-CN" w:bidi="ar"/>
              </w:rPr>
              <w:t>变化</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3266B44F">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推理时长节省</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3EA98021">
            <w:pPr>
              <w:keepNext w:val="0"/>
              <w:keepLines w:val="0"/>
              <w:widowControl/>
              <w:suppressLineNumbers w:val="0"/>
              <w:spacing w:before="0" w:beforeAutospacing="0" w:after="0" w:afterAutospacing="0" w:line="240" w:lineRule="auto"/>
              <w:ind w:left="0" w:right="0"/>
              <w:jc w:val="center"/>
              <w:rPr>
                <w:rFonts w:hint="eastAsia"/>
                <w:lang w:val="en-US"/>
              </w:rPr>
            </w:pPr>
            <w:r>
              <w:rPr>
                <w:rFonts w:hint="eastAsia" w:ascii="Times New Roman" w:hAnsi="Times New Roman" w:eastAsia="宋体" w:cs="宋体"/>
                <w:b/>
                <w:bCs w:val="0"/>
                <w:color w:val="000000"/>
                <w:kern w:val="0"/>
                <w:sz w:val="21"/>
                <w:szCs w:val="22"/>
                <w:lang w:val="en-US" w:eastAsia="zh-CN" w:bidi="ar"/>
              </w:rPr>
              <w:t>显存节省</w:t>
            </w:r>
          </w:p>
        </w:tc>
      </w:tr>
      <w:tr w14:paraId="08197252">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5B6DCEA8">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Sparse-only</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66B926E4">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-1.73%</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4D53D47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-36.5%</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609ABA9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-43.9%</w:t>
            </w:r>
          </w:p>
        </w:tc>
      </w:tr>
      <w:tr w14:paraId="3556785D">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469B947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Feature-only</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4CC1332C">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-0.58%</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128E4E45">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-47.9%</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3387D01E">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-48.5%</w:t>
            </w:r>
          </w:p>
        </w:tc>
      </w:tr>
      <w:tr w14:paraId="3A035B02">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7376A662">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Sparse+Feature</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20DB7B31">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-1.60%</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24D7D273">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-48.0%</w:t>
            </w:r>
          </w:p>
        </w:tc>
        <w:tc>
          <w:tcPr>
            <w:tcW w:w="2197" w:type="dxa"/>
            <w:tcBorders>
              <w:top w:val="single" w:color="auto" w:sz="4" w:space="0"/>
              <w:left w:val="single" w:color="auto" w:sz="4" w:space="0"/>
              <w:bottom w:val="single" w:color="auto" w:sz="4" w:space="0"/>
              <w:right w:val="single" w:color="auto" w:sz="4" w:space="0"/>
            </w:tcBorders>
            <w:shd w:val="clear" w:color="auto" w:fill="auto"/>
            <w:vAlign w:val="top"/>
          </w:tcPr>
          <w:p w14:paraId="34549BC0">
            <w:pPr>
              <w:keepNext w:val="0"/>
              <w:keepLines w:val="0"/>
              <w:widowControl/>
              <w:suppressLineNumbers w:val="0"/>
              <w:spacing w:before="0" w:beforeAutospacing="0" w:after="0" w:afterAutospacing="0" w:line="240" w:lineRule="auto"/>
              <w:ind w:left="0" w:right="0"/>
              <w:jc w:val="center"/>
              <w:rPr>
                <w:rFonts w:hint="eastAsia"/>
                <w:lang w:val="en-US"/>
              </w:rPr>
            </w:pPr>
            <w:r>
              <w:rPr>
                <w:rFonts w:hint="default" w:ascii="Times New Roman" w:hAnsi="Times New Roman" w:eastAsia="宋体" w:cs="Times New Roman"/>
                <w:color w:val="000000"/>
                <w:kern w:val="0"/>
                <w:sz w:val="21"/>
                <w:szCs w:val="22"/>
                <w:lang w:val="en-US" w:eastAsia="zh-CN" w:bidi="ar"/>
              </w:rPr>
              <w:t>-48.5%</w:t>
            </w:r>
          </w:p>
        </w:tc>
      </w:tr>
    </w:tbl>
    <w:p w14:paraId="0D6043E9">
      <w:pPr>
        <w:pStyle w:val="170"/>
        <w:bidi w:val="0"/>
        <w:rPr>
          <w:lang w:val="en-US"/>
        </w:rPr>
      </w:pPr>
      <w:r>
        <w:rPr>
          <w:rFonts w:hint="eastAsia"/>
          <w:lang w:val="en-US" w:eastAsia="zh-CN"/>
        </w:rPr>
        <w:t>综合来看，</w:t>
      </w:r>
      <w:r>
        <w:rPr>
          <w:rFonts w:hint="default"/>
          <w:lang w:val="en-US" w:eastAsia="zh-CN"/>
        </w:rPr>
        <w:t>Feature-only</w:t>
      </w:r>
      <w:r>
        <w:rPr>
          <w:rFonts w:hint="eastAsia"/>
          <w:lang w:val="en-US" w:eastAsia="zh-CN"/>
        </w:rPr>
        <w:t>方案在</w:t>
      </w:r>
      <w:r>
        <w:rPr>
          <w:rFonts w:hint="default"/>
          <w:lang w:val="en-US" w:eastAsia="zh-CN"/>
        </w:rPr>
        <w:t>DrugBank</w:t>
      </w:r>
      <w:r>
        <w:rPr>
          <w:rFonts w:hint="eastAsia"/>
          <w:lang w:val="en-US" w:eastAsia="zh-CN"/>
        </w:rPr>
        <w:t>上具有最高的</w:t>
      </w:r>
      <w:r>
        <w:rPr>
          <w:rFonts w:hint="default"/>
          <w:lang w:val="en-US" w:eastAsia="zh-CN"/>
        </w:rPr>
        <w:t>"</w:t>
      </w:r>
      <w:r>
        <w:rPr>
          <w:rFonts w:hint="eastAsia"/>
          <w:lang w:val="en-US" w:eastAsia="zh-CN"/>
        </w:rPr>
        <w:t>精度保持</w:t>
      </w:r>
      <w:r>
        <w:rPr>
          <w:rFonts w:hint="default"/>
          <w:lang w:val="en-US" w:eastAsia="zh-CN"/>
        </w:rPr>
        <w:t>/</w:t>
      </w:r>
      <w:r>
        <w:rPr>
          <w:rFonts w:hint="eastAsia"/>
          <w:lang w:val="en-US" w:eastAsia="zh-CN"/>
        </w:rPr>
        <w:t>资源节省</w:t>
      </w:r>
      <w:r>
        <w:rPr>
          <w:rFonts w:hint="default"/>
          <w:lang w:val="en-US" w:eastAsia="zh-CN"/>
        </w:rPr>
        <w:t>"</w:t>
      </w:r>
      <w:r>
        <w:rPr>
          <w:rFonts w:hint="eastAsia"/>
          <w:lang w:val="en-US" w:eastAsia="zh-CN"/>
        </w:rPr>
        <w:t>比，是最优的单维度轻量化策略；</w:t>
      </w:r>
      <w:r>
        <w:rPr>
          <w:rFonts w:hint="default"/>
          <w:lang w:val="en-US" w:eastAsia="zh-CN"/>
        </w:rPr>
        <w:t>Sparse+Feature</w:t>
      </w:r>
      <w:r>
        <w:rPr>
          <w:rFonts w:hint="eastAsia"/>
          <w:lang w:val="en-US" w:eastAsia="zh-CN"/>
        </w:rPr>
        <w:t>协同方案的显存节省与</w:t>
      </w:r>
      <w:r>
        <w:rPr>
          <w:rFonts w:hint="default"/>
          <w:lang w:val="en-US" w:eastAsia="zh-CN"/>
        </w:rPr>
        <w:t>Feature-only</w:t>
      </w:r>
      <w:r>
        <w:rPr>
          <w:rFonts w:hint="eastAsia"/>
          <w:lang w:val="en-US" w:eastAsia="zh-CN"/>
        </w:rPr>
        <w:t>相当，但</w:t>
      </w:r>
      <w:r>
        <w:rPr>
          <w:rFonts w:hint="default"/>
          <w:lang w:val="en-US" w:eastAsia="zh-CN"/>
        </w:rPr>
        <w:t>Macro-F1</w:t>
      </w:r>
      <w:r>
        <w:rPr>
          <w:rFonts w:hint="eastAsia"/>
          <w:lang w:val="en-US" w:eastAsia="zh-CN"/>
        </w:rPr>
        <w:t>损失更大，在显存已充分节省的前提下，协同压缩的额外收益有限。</w:t>
      </w:r>
    </w:p>
    <w:p w14:paraId="6BBF990A">
      <w:pPr>
        <w:pStyle w:val="167"/>
        <w:bidi w:val="0"/>
        <w:rPr>
          <w:lang w:val="en-US"/>
        </w:rPr>
      </w:pPr>
      <w:bookmarkStart w:id="31" w:name="_Toc902535794"/>
      <w:bookmarkEnd w:id="31"/>
      <w:r>
        <w:rPr>
          <w:color w:val="000000"/>
        </w:rPr>
        <w:t>5.6 轻量化适用边界与折中关系总结</w:t>
      </w:r>
    </w:p>
    <w:p w14:paraId="598798D1">
      <w:pPr>
        <w:pStyle w:val="168"/>
        <w:bidi w:val="0"/>
        <w:rPr>
          <w:lang w:val="en-US"/>
        </w:rPr>
      </w:pPr>
      <w:bookmarkStart w:id="32" w:name="_Toc1242090997"/>
      <w:bookmarkEnd w:id="32"/>
      <w:r>
        <w:rPr>
          <w:color w:val="000000"/>
        </w:rPr>
        <w:t>5.6.1 DrugBank与TWOSIDES的适用性差异</w:t>
      </w:r>
    </w:p>
    <w:p w14:paraId="598798D1">
      <w:pPr>
        <w:pStyle w:val="136"/>
        <w:bidi w:val="0"/>
        <w:rPr>
          <w:lang w:val="en-US"/>
        </w:rPr>
      </w:pPr>
      <w:bookmarkStart w:id="32" w:name="_Toc1242090997"/>
      <w:bookmarkEnd w:id="32"/>
      <w:r>
        <w:rPr>
          <w:color w:val="FF0000"/>
        </w:rPr>
        <w:t>这个差异和近年的边缘智能结论也比较一致，特别是当瓶颈主要来自数据规模而不是模型维度时，只压缩参数往往不够，还需要把系统级优化一起做[18]。</w:t>
      </w:r>
    </w:p>
    <w:p w14:paraId="7A9A5138">
      <w:pPr>
        <w:pStyle w:val="170"/>
        <w:bidi w:val="0"/>
        <w:rPr>
          <w:lang w:val="en-US"/>
        </w:rPr>
      </w:pPr>
      <w:r>
        <w:rPr>
          <w:rFonts w:hint="eastAsia"/>
          <w:lang w:val="en-US" w:eastAsia="zh-CN"/>
        </w:rPr>
        <w:t>基于本章实验结果，两个数据集上的轻量化适用性存在显著差异：</w:t>
      </w:r>
    </w:p>
    <w:p w14:paraId="4FE084EF">
      <w:pPr>
        <w:pStyle w:val="170"/>
        <w:bidi w:val="0"/>
        <w:rPr>
          <w:lang w:val="en-US"/>
        </w:rPr>
      </w:pPr>
      <w:r>
        <w:rPr>
          <w:rFonts w:hint="default"/>
          <w:lang w:val="en-US" w:eastAsia="zh-CN"/>
        </w:rPr>
        <w:t>DrugBank</w:t>
      </w:r>
      <w:r>
        <w:rPr>
          <w:rFonts w:hint="eastAsia"/>
          <w:lang w:val="en-US" w:eastAsia="zh-CN"/>
        </w:rPr>
        <w:t>对轻量化更敏感。</w:t>
      </w:r>
      <w:r>
        <w:rPr>
          <w:rFonts w:hint="default"/>
          <w:lang w:val="en-US" w:eastAsia="zh-CN"/>
        </w:rPr>
        <w:t>Macro-F1</w:t>
      </w:r>
      <w:r>
        <w:rPr>
          <w:rFonts w:hint="eastAsia"/>
          <w:lang w:val="en-US" w:eastAsia="zh-CN"/>
        </w:rPr>
        <w:t>对子图稀疏采样（</w:t>
      </w:r>
      <w:r>
        <w:rPr>
          <w:rFonts w:hint="default"/>
          <w:lang w:val="en-US" w:eastAsia="zh-CN"/>
        </w:rPr>
        <w:t>-1.73%</w:t>
      </w:r>
      <w:r>
        <w:rPr>
          <w:rFonts w:hint="eastAsia"/>
          <w:lang w:val="en-US" w:eastAsia="zh-CN"/>
        </w:rPr>
        <w:t>）和特征压缩（</w:t>
      </w:r>
      <w:r>
        <w:rPr>
          <w:rFonts w:hint="default"/>
          <w:lang w:val="en-US" w:eastAsia="zh-CN"/>
        </w:rPr>
        <w:t>-0.58%</w:t>
      </w:r>
      <w:r>
        <w:rPr>
          <w:rFonts w:hint="eastAsia"/>
          <w:lang w:val="en-US" w:eastAsia="zh-CN"/>
        </w:rPr>
        <w:t>）均有明显响应，显存节省幅度也更大（</w:t>
      </w:r>
      <w:r>
        <w:rPr>
          <w:rFonts w:hint="default"/>
          <w:lang w:val="en-US" w:eastAsia="zh-CN"/>
        </w:rPr>
        <w:t>43%~49%</w:t>
      </w:r>
      <w:r>
        <w:rPr>
          <w:rFonts w:hint="eastAsia"/>
          <w:lang w:val="en-US" w:eastAsia="zh-CN"/>
        </w:rPr>
        <w:t>），说明</w:t>
      </w:r>
      <w:r>
        <w:rPr>
          <w:rFonts w:hint="default"/>
          <w:lang w:val="en-US" w:eastAsia="zh-CN"/>
        </w:rPr>
        <w:t>DrugBank</w:t>
      </w:r>
      <w:r>
        <w:rPr>
          <w:rFonts w:hint="eastAsia"/>
          <w:lang w:val="en-US" w:eastAsia="zh-CN"/>
        </w:rPr>
        <w:t>场景下的基线模型具有更多可压缩的冗余。特征压缩是</w:t>
      </w:r>
      <w:r>
        <w:rPr>
          <w:rFonts w:hint="default"/>
          <w:lang w:val="en-US" w:eastAsia="zh-CN"/>
        </w:rPr>
        <w:t>DrugBank</w:t>
      </w:r>
      <w:r>
        <w:rPr>
          <w:rFonts w:hint="eastAsia"/>
          <w:lang w:val="en-US" w:eastAsia="zh-CN"/>
        </w:rPr>
        <w:t>首选的轻量化策略，其精度损失最小、效率提升最显著。</w:t>
      </w:r>
    </w:p>
    <w:p w14:paraId="5C37B506">
      <w:pPr>
        <w:pStyle w:val="170"/>
        <w:bidi w:val="0"/>
        <w:rPr>
          <w:lang w:val="en-US"/>
        </w:rPr>
      </w:pPr>
      <w:r>
        <w:rPr>
          <w:rFonts w:hint="default"/>
          <w:lang w:val="en-US" w:eastAsia="zh-CN"/>
        </w:rPr>
        <w:t>TWOSIDES</w:t>
      </w:r>
      <w:r>
        <w:rPr>
          <w:rFonts w:hint="eastAsia"/>
          <w:lang w:val="en-US" w:eastAsia="zh-CN"/>
        </w:rPr>
        <w:t>对轻量化不敏感。子图稀疏采样和特征压缩对</w:t>
      </w:r>
      <w:r>
        <w:rPr>
          <w:rFonts w:hint="default"/>
          <w:lang w:val="en-US" w:eastAsia="zh-CN"/>
        </w:rPr>
        <w:t>AUROC</w:t>
      </w:r>
      <w:r>
        <w:rPr>
          <w:rFonts w:hint="eastAsia"/>
          <w:lang w:val="en-US" w:eastAsia="zh-CN"/>
        </w:rPr>
        <w:t>和</w:t>
      </w:r>
      <w:r>
        <w:rPr>
          <w:rFonts w:hint="default"/>
          <w:lang w:val="en-US" w:eastAsia="zh-CN"/>
        </w:rPr>
        <w:t>AUPRC</w:t>
      </w:r>
      <w:r>
        <w:rPr>
          <w:rFonts w:hint="eastAsia"/>
          <w:lang w:val="en-US" w:eastAsia="zh-CN"/>
        </w:rPr>
        <w:t>的影响极小（精度变化均在</w:t>
      </w:r>
      <w:r>
        <w:rPr>
          <w:rFonts w:hint="default"/>
          <w:lang w:val="en-US" w:eastAsia="zh-CN"/>
        </w:rPr>
        <w:t>0.16%~0.21%</w:t>
      </w:r>
      <w:r>
        <w:rPr>
          <w:rFonts w:hint="eastAsia"/>
          <w:lang w:val="en-US" w:eastAsia="zh-CN"/>
        </w:rPr>
        <w:t>级别，</w:t>
      </w:r>
      <w:r>
        <w:rPr>
          <w:rFonts w:hint="default"/>
          <w:lang w:val="en-US" w:eastAsia="zh-CN"/>
        </w:rPr>
        <w:t>Sparse-only</w:t>
      </w:r>
      <w:r>
        <w:rPr>
          <w:rFonts w:hint="eastAsia"/>
          <w:lang w:val="en-US" w:eastAsia="zh-CN"/>
        </w:rPr>
        <w:t>甚至小幅高于基线），但显存和推理时长的节省幅度也较为有限（不超过</w:t>
      </w:r>
      <w:r>
        <w:rPr>
          <w:rFonts w:hint="default"/>
          <w:lang w:val="en-US" w:eastAsia="zh-CN"/>
        </w:rPr>
        <w:t>10%</w:t>
      </w:r>
      <w:r>
        <w:rPr>
          <w:rFonts w:hint="eastAsia"/>
          <w:lang w:val="en-US" w:eastAsia="zh-CN"/>
        </w:rPr>
        <w:t>）。这说明</w:t>
      </w:r>
      <w:r>
        <w:rPr>
          <w:rFonts w:hint="default"/>
          <w:lang w:val="en-US" w:eastAsia="zh-CN"/>
        </w:rPr>
        <w:t>TWOSIDES</w:t>
      </w:r>
      <w:r>
        <w:rPr>
          <w:rFonts w:hint="eastAsia"/>
          <w:lang w:val="en-US" w:eastAsia="zh-CN"/>
        </w:rPr>
        <w:t>模型的计算开销主要来源于数据规模（样本数量），而非图拓扑复杂度或特征维度，单纯的拓扑压缩和特征压缩难以在该场景下带来显著的效率改进。</w:t>
      </w:r>
    </w:p>
    <w:p w14:paraId="20F72F1C">
      <w:pPr>
        <w:pStyle w:val="168"/>
        <w:bidi w:val="0"/>
        <w:rPr>
          <w:lang w:val="en-US"/>
        </w:rPr>
      </w:pPr>
      <w:bookmarkStart w:id="33" w:name="_Toc134854092"/>
      <w:bookmarkEnd w:id="33"/>
      <w:r>
        <w:rPr>
          <w:color w:val="000000"/>
        </w:rPr>
        <w:t>5.6.2 单一优化与协同优化的收益对比</w:t>
      </w:r>
    </w:p>
    <w:p w14:paraId="67FA9F15">
      <w:pPr>
        <w:pStyle w:val="170"/>
        <w:bidi w:val="0"/>
        <w:rPr>
          <w:rFonts w:hint="default"/>
          <w:lang w:val="en-US"/>
        </w:rPr>
      </w:pPr>
      <w:r>
        <w:rPr>
          <w:rFonts w:hint="eastAsia"/>
          <w:lang w:val="en-US" w:eastAsia="zh-CN"/>
        </w:rPr>
        <w:t>从实验结果来看，协同优化（</w:t>
      </w:r>
      <w:r>
        <w:rPr>
          <w:rFonts w:hint="default"/>
          <w:lang w:val="en-US" w:eastAsia="zh-CN"/>
        </w:rPr>
        <w:t>Sparse+Feature</w:t>
      </w:r>
      <w:r>
        <w:rPr>
          <w:rFonts w:hint="eastAsia"/>
          <w:lang w:val="en-US" w:eastAsia="zh-CN"/>
        </w:rPr>
        <w:t>）并未在所有场景下带来相比单一优化更大的效益。</w:t>
      </w:r>
    </w:p>
    <w:p w14:paraId="356BB8D9">
      <w:pPr>
        <w:pStyle w:val="170"/>
        <w:bidi w:val="0"/>
        <w:rPr>
          <w:lang w:val="en-US"/>
        </w:rPr>
      </w:pPr>
      <w:r>
        <w:rPr>
          <w:rFonts w:hint="eastAsia"/>
          <w:lang w:val="en-US" w:eastAsia="zh-CN"/>
        </w:rPr>
        <w:t>在</w:t>
      </w:r>
      <w:r>
        <w:rPr>
          <w:rFonts w:hint="default"/>
          <w:lang w:val="en-US" w:eastAsia="zh-CN"/>
        </w:rPr>
        <w:t>DrugBank</w:t>
      </w:r>
      <w:r>
        <w:rPr>
          <w:rFonts w:hint="eastAsia"/>
          <w:lang w:val="en-US" w:eastAsia="zh-CN"/>
        </w:rPr>
        <w:t>上，协同优化的显存节省（</w:t>
      </w:r>
      <w:r>
        <w:rPr>
          <w:rFonts w:hint="default"/>
          <w:lang w:val="en-US" w:eastAsia="zh-CN"/>
        </w:rPr>
        <w:t>48.5%</w:t>
      </w:r>
      <w:r>
        <w:rPr>
          <w:rFonts w:hint="eastAsia"/>
          <w:lang w:val="en-US" w:eastAsia="zh-CN"/>
        </w:rPr>
        <w:t>）与</w:t>
      </w:r>
      <w:r>
        <w:rPr>
          <w:rFonts w:hint="default"/>
          <w:lang w:val="en-US" w:eastAsia="zh-CN"/>
        </w:rPr>
        <w:t>Feature-only</w:t>
      </w:r>
      <w:r>
        <w:rPr>
          <w:rFonts w:hint="eastAsia"/>
          <w:lang w:val="en-US" w:eastAsia="zh-CN"/>
        </w:rPr>
        <w:t>（</w:t>
      </w:r>
      <w:r>
        <w:rPr>
          <w:rFonts w:hint="default"/>
          <w:lang w:val="en-US" w:eastAsia="zh-CN"/>
        </w:rPr>
        <w:t>48.5%</w:t>
      </w:r>
      <w:r>
        <w:rPr>
          <w:rFonts w:hint="eastAsia"/>
          <w:lang w:val="en-US" w:eastAsia="zh-CN"/>
        </w:rPr>
        <w:t>）相同，但</w:t>
      </w:r>
      <w:r>
        <w:rPr>
          <w:rFonts w:hint="default"/>
          <w:lang w:val="en-US" w:eastAsia="zh-CN"/>
        </w:rPr>
        <w:t>Macro-F1</w:t>
      </w:r>
      <w:r>
        <w:rPr>
          <w:rFonts w:hint="eastAsia"/>
          <w:lang w:val="en-US" w:eastAsia="zh-CN"/>
        </w:rPr>
        <w:t>损失（</w:t>
      </w:r>
      <w:r>
        <w:rPr>
          <w:rFonts w:hint="default"/>
          <w:lang w:val="en-US" w:eastAsia="zh-CN"/>
        </w:rPr>
        <w:t>1.60%</w:t>
      </w:r>
      <w:r>
        <w:rPr>
          <w:rFonts w:hint="eastAsia"/>
          <w:lang w:val="en-US" w:eastAsia="zh-CN"/>
        </w:rPr>
        <w:t>）大于</w:t>
      </w:r>
      <w:r>
        <w:rPr>
          <w:rFonts w:hint="default"/>
          <w:lang w:val="en-US" w:eastAsia="zh-CN"/>
        </w:rPr>
        <w:t>Feature-only</w:t>
      </w:r>
      <w:r>
        <w:rPr>
          <w:rFonts w:hint="eastAsia"/>
          <w:lang w:val="en-US" w:eastAsia="zh-CN"/>
        </w:rPr>
        <w:t>（</w:t>
      </w:r>
      <w:r>
        <w:rPr>
          <w:rFonts w:hint="default"/>
          <w:lang w:val="en-US" w:eastAsia="zh-CN"/>
        </w:rPr>
        <w:t>0.58%</w:t>
      </w:r>
      <w:r>
        <w:rPr>
          <w:rFonts w:hint="eastAsia"/>
          <w:lang w:val="en-US" w:eastAsia="zh-CN"/>
        </w:rPr>
        <w:t>），说明在特征维度已充分压缩的基础上，叠加子图稀疏采样对推理效率的边际贡献有限，但会额外损害精度。</w:t>
      </w:r>
    </w:p>
    <w:p w14:paraId="437EA110">
      <w:pPr>
        <w:pStyle w:val="170"/>
        <w:bidi w:val="0"/>
        <w:rPr>
          <w:lang w:val="en-US"/>
        </w:rPr>
      </w:pPr>
      <w:r>
        <w:rPr>
          <w:rFonts w:hint="eastAsia"/>
          <w:lang w:val="en-US" w:eastAsia="zh-CN"/>
        </w:rPr>
        <w:t>因此，对于追求精度优先的部署场景，</w:t>
      </w:r>
      <w:r>
        <w:rPr>
          <w:rFonts w:hint="default"/>
          <w:lang w:val="en-US" w:eastAsia="zh-CN"/>
        </w:rPr>
        <w:t>Feature-only</w:t>
      </w:r>
      <w:r>
        <w:rPr>
          <w:rFonts w:hint="eastAsia"/>
          <w:lang w:val="en-US" w:eastAsia="zh-CN"/>
        </w:rPr>
        <w:t>是</w:t>
      </w:r>
      <w:r>
        <w:rPr>
          <w:rFonts w:hint="default"/>
          <w:lang w:val="en-US" w:eastAsia="zh-CN"/>
        </w:rPr>
        <w:t>DrugBank</w:t>
      </w:r>
      <w:r>
        <w:rPr>
          <w:rFonts w:hint="eastAsia"/>
          <w:lang w:val="en-US" w:eastAsia="zh-CN"/>
        </w:rPr>
        <w:t>上的最优轻量化策略；对于追求极限显存压缩的场景，</w:t>
      </w:r>
      <w:r>
        <w:rPr>
          <w:rFonts w:hint="default"/>
          <w:lang w:val="en-US" w:eastAsia="zh-CN"/>
        </w:rPr>
        <w:t>Sparse-only</w:t>
      </w:r>
      <w:r>
        <w:rPr>
          <w:rFonts w:hint="eastAsia"/>
          <w:lang w:val="en-US" w:eastAsia="zh-CN"/>
        </w:rPr>
        <w:t>具有更大的显存节省弹性（可通过更激进的稀疏比例继续压缩）。</w:t>
      </w:r>
    </w:p>
    <w:p w14:paraId="740E8F4F">
      <w:pPr>
        <w:pStyle w:val="168"/>
        <w:bidi w:val="0"/>
        <w:rPr>
          <w:lang w:val="en-US"/>
        </w:rPr>
      </w:pPr>
      <w:bookmarkStart w:id="34" w:name="_Toc897476659"/>
      <w:bookmarkEnd w:id="34"/>
      <w:r>
        <w:rPr>
          <w:color w:val="000000"/>
        </w:rPr>
        <w:t>5.6.3 面向边缘部署的实践建议</w:t>
      </w:r>
    </w:p>
    <w:p w14:paraId="740E8F4F">
      <w:pPr>
        <w:pStyle w:val="136"/>
        <w:bidi w:val="0"/>
        <w:rPr>
          <w:lang w:val="en-US"/>
        </w:rPr>
      </w:pPr>
      <w:bookmarkStart w:id="34" w:name="_Toc897476659"/>
      <w:bookmarkEnd w:id="34"/>
      <w:r>
        <w:rPr>
          <w:color w:val="FF0000"/>
        </w:rPr>
        <w:t>在部署侧可以先做模型压缩，再做批处理调度和低比特量化，最后结合推理引擎优化，这样形成“模型+系统”的协同路径，端侧收益通常更稳定[19]。</w:t>
      </w:r>
    </w:p>
    <w:p w14:paraId="4696D2B8">
      <w:pPr>
        <w:pStyle w:val="170"/>
        <w:bidi w:val="0"/>
        <w:rPr>
          <w:lang w:val="en-US"/>
        </w:rPr>
      </w:pPr>
      <w:r>
        <w:rPr>
          <w:rFonts w:hint="eastAsia"/>
          <w:lang w:val="en-US" w:eastAsia="zh-CN"/>
        </w:rPr>
        <w:t>基于本章实验分析，对面向医疗边缘部署的</w:t>
      </w:r>
      <w:r>
        <w:rPr>
          <w:rFonts w:hint="default"/>
          <w:lang w:val="en-US" w:eastAsia="zh-CN"/>
        </w:rPr>
        <w:t>DDI</w:t>
      </w:r>
      <w:r>
        <w:rPr>
          <w:rFonts w:hint="eastAsia"/>
          <w:lang w:val="en-US" w:eastAsia="zh-CN"/>
        </w:rPr>
        <w:t>预测模型轻量化提出以下实践建议：</w:t>
      </w:r>
    </w:p>
    <w:p w14:paraId="245B8A45">
      <w:pPr>
        <w:pStyle w:val="170"/>
        <w:bidi w:val="0"/>
        <w:rPr>
          <w:rFonts w:hint="default"/>
          <w:lang w:val="en-US"/>
        </w:rPr>
      </w:pPr>
      <w:r>
        <w:rPr>
          <w:rFonts w:hint="eastAsia"/>
          <w:lang w:val="en-US" w:eastAsia="zh-CN"/>
        </w:rPr>
        <w:t>对于</w:t>
      </w:r>
      <w:r>
        <w:rPr>
          <w:rFonts w:hint="default"/>
          <w:lang w:val="en-US" w:eastAsia="zh-CN"/>
        </w:rPr>
        <w:t>DrugBank</w:t>
      </w:r>
      <w:r>
        <w:rPr>
          <w:rFonts w:hint="eastAsia"/>
          <w:lang w:val="en-US" w:eastAsia="zh-CN"/>
        </w:rPr>
        <w:t>类多分类任务：优先采用特征压缩策略（</w:t>
      </w:r>
      <w:r>
        <w:rPr>
          <w:rFonts w:hint="default"/>
          <w:lang w:val="en-US" w:eastAsia="zh-CN"/>
        </w:rPr>
        <w:t>50%</w:t>
      </w:r>
      <w:r>
        <w:rPr>
          <w:rFonts w:hint="eastAsia"/>
          <w:lang w:val="en-US" w:eastAsia="zh-CN"/>
        </w:rPr>
        <w:t>比例），可在约</w:t>
      </w:r>
      <w:r>
        <w:rPr>
          <w:rFonts w:hint="default"/>
          <w:lang w:val="en-US" w:eastAsia="zh-CN"/>
        </w:rPr>
        <w:t>0.58%</w:t>
      </w:r>
      <w:r>
        <w:rPr>
          <w:rFonts w:hint="eastAsia"/>
          <w:lang w:val="en-US" w:eastAsia="zh-CN"/>
        </w:rPr>
        <w:t>的</w:t>
      </w:r>
      <w:r>
        <w:rPr>
          <w:rFonts w:hint="default"/>
          <w:lang w:val="en-US" w:eastAsia="zh-CN"/>
        </w:rPr>
        <w:t>Macro-F1</w:t>
      </w:r>
      <w:r>
        <w:rPr>
          <w:rFonts w:hint="eastAsia"/>
          <w:lang w:val="en-US" w:eastAsia="zh-CN"/>
        </w:rPr>
        <w:t>损失范围内实现约</w:t>
      </w:r>
      <w:r>
        <w:rPr>
          <w:rFonts w:hint="default"/>
          <w:lang w:val="en-US" w:eastAsia="zh-CN"/>
        </w:rPr>
        <w:t>48%</w:t>
      </w:r>
      <w:r>
        <w:rPr>
          <w:rFonts w:hint="eastAsia"/>
          <w:lang w:val="en-US" w:eastAsia="zh-CN"/>
        </w:rPr>
        <w:t>的显存节省和约</w:t>
      </w:r>
      <w:r>
        <w:rPr>
          <w:rFonts w:hint="default"/>
          <w:lang w:val="en-US" w:eastAsia="zh-CN"/>
        </w:rPr>
        <w:t>48%</w:t>
      </w:r>
      <w:r>
        <w:rPr>
          <w:rFonts w:hint="eastAsia"/>
          <w:lang w:val="en-US" w:eastAsia="zh-CN"/>
        </w:rPr>
        <w:t>的推理时长缩短，是精度与效率的最佳折中点。</w:t>
      </w:r>
    </w:p>
    <w:p w14:paraId="7FF3EF5D">
      <w:pPr>
        <w:pStyle w:val="170"/>
        <w:bidi w:val="0"/>
        <w:rPr>
          <w:lang w:val="en-US"/>
        </w:rPr>
      </w:pPr>
      <w:r>
        <w:rPr>
          <w:rFonts w:hint="eastAsia"/>
          <w:lang w:val="en-US" w:eastAsia="zh-CN"/>
        </w:rPr>
        <w:t>对于</w:t>
      </w:r>
      <w:r>
        <w:rPr>
          <w:rFonts w:hint="default"/>
          <w:lang w:val="en-US" w:eastAsia="zh-CN"/>
        </w:rPr>
        <w:t>TWOSIDES</w:t>
      </w:r>
      <w:r>
        <w:rPr>
          <w:rFonts w:hint="eastAsia"/>
          <w:lang w:val="en-US" w:eastAsia="zh-CN"/>
        </w:rPr>
        <w:t>类多标签任务：当前两类轻量化手段的效率收益有限，建议在实际部署时重点考虑批处理并行化、推理引擎优化（如</w:t>
      </w:r>
      <w:r>
        <w:rPr>
          <w:rFonts w:hint="default"/>
          <w:lang w:val="en-US" w:eastAsia="zh-CN"/>
        </w:rPr>
        <w:t>TorchScript</w:t>
      </w:r>
      <w:r>
        <w:rPr>
          <w:rFonts w:hint="eastAsia"/>
          <w:lang w:val="en-US" w:eastAsia="zh-CN"/>
        </w:rPr>
        <w:t>或</w:t>
      </w:r>
      <w:r>
        <w:rPr>
          <w:rFonts w:hint="default"/>
          <w:lang w:val="en-US" w:eastAsia="zh-CN"/>
        </w:rPr>
        <w:t>ONNX</w:t>
      </w:r>
      <w:r>
        <w:rPr>
          <w:rFonts w:hint="eastAsia"/>
          <w:lang w:val="en-US" w:eastAsia="zh-CN"/>
        </w:rPr>
        <w:t>转换）等系统层面的优化手段，而非进一步压缩模型本身。</w:t>
      </w:r>
    </w:p>
    <w:p w14:paraId="4730E769">
      <w:pPr>
        <w:pStyle w:val="170"/>
        <w:adjustRightInd w:val="0"/>
        <w:snapToGrid w:val="0"/>
        <w:rPr>
          <w:rFonts w:ascii="Times New Roman" w:hAnsi="Times New Roman"/>
          <w:szCs w:val="24"/>
        </w:rPr>
      </w:pPr>
      <w:r>
        <w:rPr>
          <w:rFonts w:hint="eastAsia"/>
          <w:lang w:val="en-US" w:eastAsia="zh-CN"/>
        </w:rPr>
        <w:t>对于需要极限资源压缩的场景（如低功耗</w:t>
      </w:r>
      <w:r>
        <w:rPr>
          <w:rFonts w:hint="default"/>
          <w:lang w:val="en-US" w:eastAsia="zh-CN"/>
        </w:rPr>
        <w:t>IoT</w:t>
      </w:r>
      <w:r>
        <w:rPr>
          <w:rFonts w:hint="eastAsia"/>
          <w:lang w:val="en-US" w:eastAsia="zh-CN"/>
        </w:rPr>
        <w:t>设备）：可采用子图稀疏采样与特征压缩的协同方案，并结合更激进的稀疏比例（</w:t>
      </w:r>
      <w:r>
        <w:rPr>
          <w:rFonts w:hint="default"/>
          <w:lang w:val="en-US" w:eastAsia="zh-CN"/>
        </w:rPr>
        <w:t>40%</w:t>
      </w:r>
      <w:r>
        <w:rPr>
          <w:rFonts w:hint="eastAsia"/>
          <w:lang w:val="en-US" w:eastAsia="zh-CN"/>
        </w:rPr>
        <w:t>及以下），但需预先接受约</w:t>
      </w:r>
      <w:r>
        <w:rPr>
          <w:rFonts w:hint="default"/>
          <w:lang w:val="en-US" w:eastAsia="zh-CN"/>
        </w:rPr>
        <w:t>1.5%~2.5%</w:t>
      </w:r>
      <w:r>
        <w:rPr>
          <w:rFonts w:hint="eastAsia"/>
          <w:lang w:val="en-US" w:eastAsia="zh-CN"/>
        </w:rPr>
        <w:t>的</w:t>
      </w:r>
      <w:r>
        <w:rPr>
          <w:rFonts w:hint="default"/>
          <w:lang w:val="en-US" w:eastAsia="zh-CN"/>
        </w:rPr>
        <w:t>Macro-F1</w:t>
      </w:r>
      <w:r>
        <w:rPr>
          <w:rFonts w:hint="eastAsia"/>
          <w:lang w:val="en-US" w:eastAsia="zh-CN"/>
        </w:rPr>
        <w:t>下降作为精度代价。</w:t>
      </w:r>
    </w:p>
    <w:p>
      <w:pPr>
        <w:pStyle w:val="167"/>
      </w:pPr>
      <w:r>
        <w:rPr>
          <w:rFonts w:ascii="Times New Roman" w:hAnsi="Times New Roman" w:eastAsia="宋体"/>
          <w:b/>
          <w:color w:val="CC9900"/>
          <w:sz w:val="28"/>
        </w:rPr>
        <w:t>5.7 典型药物对预测的轻量化前后对比</w:t>
      </w:r>
    </w:p>
    <w:p>
      <w:pPr>
        <w:pStyle w:val="168"/>
      </w:pPr>
      <w:r>
        <w:rPr>
          <w:rFonts w:ascii="Times New Roman" w:hAnsi="Times New Roman" w:eastAsia="宋体"/>
          <w:b/>
          <w:color w:val="CC9900"/>
          <w:sz w:val="26"/>
        </w:rPr>
        <w:t>5.7.1 实验设置与药物对选择</w:t>
      </w:r>
    </w:p>
    <w:p>
      <w:pPr>
        <w:pStyle w:val="170"/>
        <w:ind w:firstLine="480"/>
      </w:pPr>
      <w:r>
        <w:rPr>
          <w:rFonts w:ascii="Times New Roman" w:hAnsi="Times New Roman" w:eastAsia="宋体"/>
          <w:b w:val="0"/>
          <w:color w:val="CC9900"/>
          <w:sz w:val="24"/>
        </w:rPr>
        <w:t>为在案例粒度上验证协同轻量化方案是否仍保留可解释推理能力，本节从DrugBank测试集中选取两个典型药物对，用baseline模型与drugbank_sparse_feature_v1协同轻量化模型分别推理，对比两类模型的Top-1预测类别与置信度。其中一对为Reboxetine（节点309）与Atomoxetine（节点610），对应DDI类型53，可能增强支气管收缩相关活性，在知识子图中存在经由桥接化合物Compound::DB01146的清晰双跳推理路径。还有一对为Atropine（节点47）与Scopolamine（节点51），对应DDI类型71，可能增强肌病/横纹肌溶解相关活性，在知识子图中主要依赖局部高权重邻域的综合聚合。两对药物均使用pytorch/predict_drugbank_pairs.py脚本，在eval_only模式下加载对应checkpoint做单样本前向，Top-1类别即softmax后概率最大的DDI关系，置信度即该类别对应的概率值。</w:t>
      </w:r>
    </w:p>
    <w:p>
      <w:pPr>
        <w:pStyle w:val="168"/>
      </w:pPr>
      <w:r>
        <w:rPr>
          <w:rFonts w:ascii="Times New Roman" w:hAnsi="Times New Roman" w:eastAsia="宋体"/>
          <w:b/>
          <w:color w:val="CC9900"/>
          <w:sz w:val="26"/>
        </w:rPr>
        <w:t>5.7.2 预测结果对比</w:t>
      </w:r>
    </w:p>
    <w:p>
      <w:pPr>
        <w:pStyle w:val="170"/>
        <w:ind w:firstLine="480"/>
      </w:pPr>
      <w:r>
        <w:rPr>
          <w:rFonts w:ascii="Times New Roman" w:hAnsi="Times New Roman" w:eastAsia="宋体"/>
          <w:b w:val="0"/>
          <w:color w:val="CC9900"/>
          <w:sz w:val="24"/>
        </w:rPr>
        <w:t>两个药物对在baseline与协同轻量化模型下的预测结果如下表所示，Top-1类别均与真实标签一致，置信度变化反映了压缩对单样本预测稳定性的影响程度。</w:t>
      </w:r>
    </w:p>
    <w:p>
      <w:pPr>
        <w:ind w:firstLine="0"/>
        <w:jc w:val="center"/>
      </w:pPr>
      <w:r>
        <w:rPr>
          <w:rFonts w:ascii="Times New Roman" w:hAnsi="Times New Roman" w:eastAsia="宋体"/>
          <w:b/>
          <w:color w:val="CC9900"/>
          <w:sz w:val="24"/>
        </w:rPr>
        <w:t>表5.11 baseline与协同轻量化模型在两个典型药物对上的预测对比</w:t>
      </w:r>
    </w:p>
    <w:tbl>
      <w:tblPr>
        <w:tblStyle w:val="34"/>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
              <w:rPr>
                <w:rFonts w:ascii="Times New Roman" w:hAnsi="Times New Roman" w:eastAsia="宋体"/>
                <w:b/>
                <w:color w:val="CC9900"/>
                <w:sz w:val="24"/>
              </w:rPr>
              <w:t>药物对</w:t>
            </w:r>
          </w:p>
        </w:tc>
        <w:tc>
          <w:tcPr>
            <w:tcW w:type="dxa" w:w="1758"/>
          </w:tcPr>
          <w:p>
            <w:pPr>
              <w:jc w:val="center"/>
            </w:pPr>
            <w:r/>
            <w:r>
              <w:rPr>
                <w:rFonts w:ascii="Times New Roman" w:hAnsi="Times New Roman" w:eastAsia="宋体"/>
                <w:b/>
                <w:color w:val="CC9900"/>
                <w:sz w:val="24"/>
              </w:rPr>
              <w:t>真实DDI类型</w:t>
            </w:r>
          </w:p>
        </w:tc>
        <w:tc>
          <w:tcPr>
            <w:tcW w:type="dxa" w:w="1758"/>
          </w:tcPr>
          <w:p>
            <w:pPr>
              <w:jc w:val="center"/>
            </w:pPr>
            <w:r/>
            <w:r>
              <w:rPr>
                <w:rFonts w:ascii="Times New Roman" w:hAnsi="Times New Roman" w:eastAsia="宋体"/>
                <w:b/>
                <w:color w:val="CC9900"/>
                <w:sz w:val="24"/>
              </w:rPr>
              <w:t>模型</w:t>
            </w:r>
          </w:p>
        </w:tc>
        <w:tc>
          <w:tcPr>
            <w:tcW w:type="dxa" w:w="1758"/>
          </w:tcPr>
          <w:p>
            <w:pPr>
              <w:jc w:val="center"/>
            </w:pPr>
            <w:r/>
            <w:r>
              <w:rPr>
                <w:rFonts w:ascii="Times New Roman" w:hAnsi="Times New Roman" w:eastAsia="宋体"/>
                <w:b/>
                <w:color w:val="CC9900"/>
                <w:sz w:val="24"/>
              </w:rPr>
              <w:t>Top-1类别</w:t>
            </w:r>
          </w:p>
        </w:tc>
        <w:tc>
          <w:tcPr>
            <w:tcW w:type="dxa" w:w="1758"/>
          </w:tcPr>
          <w:p>
            <w:pPr>
              <w:jc w:val="center"/>
            </w:pPr>
            <w:r/>
            <w:r>
              <w:rPr>
                <w:rFonts w:ascii="Times New Roman" w:hAnsi="Times New Roman" w:eastAsia="宋体"/>
                <w:b/>
                <w:color w:val="CC9900"/>
                <w:sz w:val="24"/>
              </w:rPr>
              <w:t>置信度</w:t>
            </w:r>
          </w:p>
        </w:tc>
      </w:tr>
      <w:tr>
        <w:tc>
          <w:tcPr>
            <w:tcW w:type="dxa" w:w="1758"/>
          </w:tcPr>
          <w:p>
            <w:pPr>
              <w:jc w:val="center"/>
            </w:pPr>
            <w:r/>
            <w:r>
              <w:rPr>
                <w:rFonts w:ascii="Times New Roman" w:hAnsi="Times New Roman" w:eastAsia="宋体"/>
                <w:b w:val="0"/>
                <w:color w:val="CC9900"/>
                <w:sz w:val="24"/>
              </w:rPr>
              <w:t>Reboxetine→Atomoxetine</w:t>
            </w:r>
          </w:p>
        </w:tc>
        <w:tc>
          <w:tcPr>
            <w:tcW w:type="dxa" w:w="1758"/>
          </w:tcPr>
          <w:p>
            <w:pPr>
              <w:jc w:val="center"/>
            </w:pPr>
            <w:r/>
            <w:r>
              <w:rPr>
                <w:rFonts w:ascii="Times New Roman" w:hAnsi="Times New Roman" w:eastAsia="宋体"/>
                <w:b w:val="0"/>
                <w:color w:val="CC9900"/>
                <w:sz w:val="24"/>
              </w:rPr>
              <w:t>DDI 53</w:t>
            </w:r>
          </w:p>
        </w:tc>
        <w:tc>
          <w:tcPr>
            <w:tcW w:type="dxa" w:w="1758"/>
          </w:tcPr>
          <w:p>
            <w:pPr>
              <w:jc w:val="center"/>
            </w:pPr>
            <w:r/>
            <w:r>
              <w:rPr>
                <w:rFonts w:ascii="Times New Roman" w:hAnsi="Times New Roman" w:eastAsia="宋体"/>
                <w:b w:val="0"/>
                <w:color w:val="CC9900"/>
                <w:sz w:val="24"/>
              </w:rPr>
              <w:t>baseline</w:t>
            </w:r>
          </w:p>
        </w:tc>
        <w:tc>
          <w:tcPr>
            <w:tcW w:type="dxa" w:w="1758"/>
          </w:tcPr>
          <w:p>
            <w:pPr>
              <w:jc w:val="center"/>
            </w:pPr>
            <w:r/>
            <w:r>
              <w:rPr>
                <w:rFonts w:ascii="Times New Roman" w:hAnsi="Times New Roman" w:eastAsia="宋体"/>
                <w:b w:val="0"/>
                <w:color w:val="CC9900"/>
                <w:sz w:val="24"/>
              </w:rPr>
              <w:t>DDI 53</w:t>
            </w:r>
          </w:p>
        </w:tc>
        <w:tc>
          <w:tcPr>
            <w:tcW w:type="dxa" w:w="1758"/>
          </w:tcPr>
          <w:p>
            <w:pPr>
              <w:jc w:val="center"/>
            </w:pPr>
            <w:r/>
            <w:r>
              <w:rPr>
                <w:rFonts w:ascii="Times New Roman" w:hAnsi="Times New Roman" w:eastAsia="宋体"/>
                <w:b w:val="0"/>
                <w:color w:val="CC9900"/>
                <w:sz w:val="24"/>
              </w:rPr>
              <w:t>0.999673</w:t>
            </w:r>
          </w:p>
        </w:tc>
      </w:tr>
      <w:tr>
        <w:tc>
          <w:tcPr>
            <w:tcW w:type="dxa" w:w="1758"/>
          </w:tcPr>
          <w:p>
            <w:pPr>
              <w:jc w:val="center"/>
            </w:pPr>
            <w:r/>
            <w:r>
              <w:rPr>
                <w:rFonts w:ascii="Times New Roman" w:hAnsi="Times New Roman" w:eastAsia="宋体"/>
                <w:b w:val="0"/>
                <w:color w:val="CC9900"/>
                <w:sz w:val="24"/>
              </w:rPr>
            </w:r>
          </w:p>
        </w:tc>
        <w:tc>
          <w:tcPr>
            <w:tcW w:type="dxa" w:w="1758"/>
          </w:tcPr>
          <w:p>
            <w:pPr>
              <w:jc w:val="center"/>
            </w:pPr>
            <w:r/>
            <w:r>
              <w:rPr>
                <w:rFonts w:ascii="Times New Roman" w:hAnsi="Times New Roman" w:eastAsia="宋体"/>
                <w:b w:val="0"/>
                <w:color w:val="CC9900"/>
                <w:sz w:val="24"/>
              </w:rPr>
            </w:r>
          </w:p>
        </w:tc>
        <w:tc>
          <w:tcPr>
            <w:tcW w:type="dxa" w:w="1758"/>
          </w:tcPr>
          <w:p>
            <w:pPr>
              <w:jc w:val="center"/>
            </w:pPr>
            <w:r/>
            <w:r>
              <w:rPr>
                <w:rFonts w:ascii="Times New Roman" w:hAnsi="Times New Roman" w:eastAsia="宋体"/>
                <w:b w:val="0"/>
                <w:color w:val="CC9900"/>
                <w:sz w:val="24"/>
              </w:rPr>
              <w:t>Sparse+Feature</w:t>
            </w:r>
          </w:p>
        </w:tc>
        <w:tc>
          <w:tcPr>
            <w:tcW w:type="dxa" w:w="1758"/>
          </w:tcPr>
          <w:p>
            <w:pPr>
              <w:jc w:val="center"/>
            </w:pPr>
            <w:r/>
            <w:r>
              <w:rPr>
                <w:rFonts w:ascii="Times New Roman" w:hAnsi="Times New Roman" w:eastAsia="宋体"/>
                <w:b w:val="0"/>
                <w:color w:val="CC9900"/>
                <w:sz w:val="24"/>
              </w:rPr>
              <w:t>DDI 53</w:t>
            </w:r>
          </w:p>
        </w:tc>
        <w:tc>
          <w:tcPr>
            <w:tcW w:type="dxa" w:w="1758"/>
          </w:tcPr>
          <w:p>
            <w:pPr>
              <w:jc w:val="center"/>
            </w:pPr>
            <w:r/>
            <w:r>
              <w:rPr>
                <w:rFonts w:ascii="Times New Roman" w:hAnsi="Times New Roman" w:eastAsia="宋体"/>
                <w:b w:val="0"/>
                <w:color w:val="CC9900"/>
                <w:sz w:val="24"/>
              </w:rPr>
              <w:t>0.999622</w:t>
            </w:r>
          </w:p>
        </w:tc>
      </w:tr>
      <w:tr>
        <w:tc>
          <w:tcPr>
            <w:tcW w:type="dxa" w:w="1758"/>
          </w:tcPr>
          <w:p>
            <w:pPr>
              <w:jc w:val="center"/>
            </w:pPr>
            <w:r/>
            <w:r>
              <w:rPr>
                <w:rFonts w:ascii="Times New Roman" w:hAnsi="Times New Roman" w:eastAsia="宋体"/>
                <w:b w:val="0"/>
                <w:color w:val="CC9900"/>
                <w:sz w:val="24"/>
              </w:rPr>
              <w:t>Atropine→Scopolamine</w:t>
            </w:r>
          </w:p>
        </w:tc>
        <w:tc>
          <w:tcPr>
            <w:tcW w:type="dxa" w:w="1758"/>
          </w:tcPr>
          <w:p>
            <w:pPr>
              <w:jc w:val="center"/>
            </w:pPr>
            <w:r/>
            <w:r>
              <w:rPr>
                <w:rFonts w:ascii="Times New Roman" w:hAnsi="Times New Roman" w:eastAsia="宋体"/>
                <w:b w:val="0"/>
                <w:color w:val="CC9900"/>
                <w:sz w:val="24"/>
              </w:rPr>
              <w:t>DDI 71</w:t>
            </w:r>
          </w:p>
        </w:tc>
        <w:tc>
          <w:tcPr>
            <w:tcW w:type="dxa" w:w="1758"/>
          </w:tcPr>
          <w:p>
            <w:pPr>
              <w:jc w:val="center"/>
            </w:pPr>
            <w:r/>
            <w:r>
              <w:rPr>
                <w:rFonts w:ascii="Times New Roman" w:hAnsi="Times New Roman" w:eastAsia="宋体"/>
                <w:b w:val="0"/>
                <w:color w:val="CC9900"/>
                <w:sz w:val="24"/>
              </w:rPr>
              <w:t>baseline</w:t>
            </w:r>
          </w:p>
        </w:tc>
        <w:tc>
          <w:tcPr>
            <w:tcW w:type="dxa" w:w="1758"/>
          </w:tcPr>
          <w:p>
            <w:pPr>
              <w:jc w:val="center"/>
            </w:pPr>
            <w:r/>
            <w:r>
              <w:rPr>
                <w:rFonts w:ascii="Times New Roman" w:hAnsi="Times New Roman" w:eastAsia="宋体"/>
                <w:b w:val="0"/>
                <w:color w:val="CC9900"/>
                <w:sz w:val="24"/>
              </w:rPr>
              <w:t>DDI 71</w:t>
            </w:r>
          </w:p>
        </w:tc>
        <w:tc>
          <w:tcPr>
            <w:tcW w:type="dxa" w:w="1758"/>
          </w:tcPr>
          <w:p>
            <w:pPr>
              <w:jc w:val="center"/>
            </w:pPr>
            <w:r/>
            <w:r>
              <w:rPr>
                <w:rFonts w:ascii="Times New Roman" w:hAnsi="Times New Roman" w:eastAsia="宋体"/>
                <w:b w:val="0"/>
                <w:color w:val="CC9900"/>
                <w:sz w:val="24"/>
              </w:rPr>
              <w:t>0.986014</w:t>
            </w:r>
          </w:p>
        </w:tc>
      </w:tr>
      <w:tr>
        <w:tc>
          <w:tcPr>
            <w:tcW w:type="dxa" w:w="1758"/>
          </w:tcPr>
          <w:p>
            <w:pPr>
              <w:jc w:val="center"/>
            </w:pPr>
            <w:r/>
            <w:r>
              <w:rPr>
                <w:rFonts w:ascii="Times New Roman" w:hAnsi="Times New Roman" w:eastAsia="宋体"/>
                <w:b w:val="0"/>
                <w:color w:val="CC9900"/>
                <w:sz w:val="24"/>
              </w:rPr>
            </w:r>
          </w:p>
        </w:tc>
        <w:tc>
          <w:tcPr>
            <w:tcW w:type="dxa" w:w="1758"/>
          </w:tcPr>
          <w:p>
            <w:pPr>
              <w:jc w:val="center"/>
            </w:pPr>
            <w:r/>
            <w:r>
              <w:rPr>
                <w:rFonts w:ascii="Times New Roman" w:hAnsi="Times New Roman" w:eastAsia="宋体"/>
                <w:b w:val="0"/>
                <w:color w:val="CC9900"/>
                <w:sz w:val="24"/>
              </w:rPr>
            </w:r>
          </w:p>
        </w:tc>
        <w:tc>
          <w:tcPr>
            <w:tcW w:type="dxa" w:w="1758"/>
          </w:tcPr>
          <w:p>
            <w:pPr>
              <w:jc w:val="center"/>
            </w:pPr>
            <w:r/>
            <w:r>
              <w:rPr>
                <w:rFonts w:ascii="Times New Roman" w:hAnsi="Times New Roman" w:eastAsia="宋体"/>
                <w:b w:val="0"/>
                <w:color w:val="CC9900"/>
                <w:sz w:val="24"/>
              </w:rPr>
              <w:t>Sparse+Feature</w:t>
            </w:r>
          </w:p>
        </w:tc>
        <w:tc>
          <w:tcPr>
            <w:tcW w:type="dxa" w:w="1758"/>
          </w:tcPr>
          <w:p>
            <w:pPr>
              <w:jc w:val="center"/>
            </w:pPr>
            <w:r/>
            <w:r>
              <w:rPr>
                <w:rFonts w:ascii="Times New Roman" w:hAnsi="Times New Roman" w:eastAsia="宋体"/>
                <w:b w:val="0"/>
                <w:color w:val="CC9900"/>
                <w:sz w:val="24"/>
              </w:rPr>
              <w:t>DDI 71</w:t>
            </w:r>
          </w:p>
        </w:tc>
        <w:tc>
          <w:tcPr>
            <w:tcW w:type="dxa" w:w="1758"/>
          </w:tcPr>
          <w:p>
            <w:pPr>
              <w:jc w:val="center"/>
            </w:pPr>
            <w:r/>
            <w:r>
              <w:rPr>
                <w:rFonts w:ascii="Times New Roman" w:hAnsi="Times New Roman" w:eastAsia="宋体"/>
                <w:b w:val="0"/>
                <w:color w:val="CC9900"/>
                <w:sz w:val="24"/>
              </w:rPr>
              <w:t>0.985801</w:t>
            </w:r>
          </w:p>
        </w:tc>
      </w:tr>
    </w:tbl>
    <w:p>
      <w:pPr>
        <w:pStyle w:val="170"/>
        <w:ind w:firstLine="480"/>
      </w:pPr>
      <w:r>
        <w:rPr>
          <w:rFonts w:ascii="Times New Roman" w:hAnsi="Times New Roman" w:eastAsia="宋体"/>
          <w:b w:val="0"/>
          <w:color w:val="CC9900"/>
          <w:sz w:val="24"/>
        </w:rPr>
        <w:t>Reboxetine→Atomoxetine案例，baseline置信度0.999673，轻量化置信度0.999622，下降幅度约0.005%。Atropine→Scopolamine案例，baseline置信度0.986014，轻量化置信度0.985801，下降幅度约0.022%。两个案例的预测类别在压缩前后保持完全一致，Top-3排序的次优类别也未发生重排，置信度损失均控制在0.05%以内。</w:t>
      </w:r>
    </w:p>
    <w:p>
      <w:pPr>
        <w:pStyle w:val="168"/>
      </w:pPr>
      <w:r>
        <w:rPr>
          <w:rFonts w:ascii="Times New Roman" w:hAnsi="Times New Roman" w:eastAsia="宋体"/>
          <w:b/>
          <w:color w:val="CC9900"/>
          <w:sz w:val="26"/>
        </w:rPr>
        <w:t>5.7.3 案例差异分析</w:t>
      </w:r>
    </w:p>
    <w:p>
      <w:pPr>
        <w:pStyle w:val="170"/>
        <w:ind w:firstLine="480"/>
      </w:pPr>
      <w:r>
        <w:rPr>
          <w:rFonts w:ascii="Times New Roman" w:hAnsi="Times New Roman" w:eastAsia="宋体"/>
          <w:b w:val="0"/>
          <w:color w:val="CC9900"/>
          <w:sz w:val="24"/>
        </w:rPr>
        <w:t>Reboxetine→Atomoxetine的置信度几乎不受压缩影响，其原因在于该案例的预测主要依赖一条结构清晰的双跳路径，桥接化合物Compound::DB01146连接两端药物的两条高权重边，在子图稀疏采样将每跳保留节点数从50压到30后仍然位于保留集合内，推理路径未被破坏，特征压缩50%带来的嵌入维度收缩也只对边权打分有微小扰动。</w:t>
      </w:r>
    </w:p>
    <w:p>
      <w:pPr>
        <w:pStyle w:val="170"/>
        <w:ind w:firstLine="480"/>
      </w:pPr>
      <w:r>
        <w:rPr>
          <w:rFonts w:ascii="Times New Roman" w:hAnsi="Times New Roman" w:eastAsia="宋体"/>
          <w:b w:val="0"/>
          <w:color w:val="CC9900"/>
          <w:sz w:val="24"/>
        </w:rPr>
        <w:t>Atropine→Scopolamine的置信度下降幅度同样很小，仅约0.022%，且预测类别仍稳居Top-1，与第二位类别DDI type 13的概率差距仍达0.94以上。其实该案例并不依赖单一推理路径，而是依赖Atropine周围多条平行的高权重邻边综合打分，max_nodes_per_hop从50压到30后虽然会丢弃部分原本参与聚合的低频邻居节点，但是高权重邻居节点在采样阶段被优先保留，使Atropine节点的局部聚合表达整体上得以维持。还有，emb_dim从32压到16使GraphSAGE输出的节点向量表达粒度变粗，但对于这种邻域信号高度一致的多邻居加权汇聚，粒度变化对最终softmax的Top-1类别几乎不产生影响。</w:t>
      </w:r>
    </w:p>
    <w:p>
      <w:pPr>
        <w:pStyle w:val="168"/>
      </w:pPr>
      <w:r>
        <w:rPr>
          <w:rFonts w:ascii="Times New Roman" w:hAnsi="Times New Roman" w:eastAsia="宋体"/>
          <w:b/>
          <w:color w:val="CC9900"/>
          <w:sz w:val="26"/>
        </w:rPr>
        <w:t>5.7.4 与精度指标的关联</w:t>
      </w:r>
    </w:p>
    <w:p>
      <w:pPr>
        <w:pStyle w:val="170"/>
        <w:ind w:firstLine="480"/>
      </w:pPr>
      <w:r>
        <w:rPr>
          <w:rFonts w:ascii="Times New Roman" w:hAnsi="Times New Roman" w:eastAsia="宋体"/>
          <w:b w:val="0"/>
          <w:color w:val="CC9900"/>
          <w:sz w:val="24"/>
        </w:rPr>
        <w:t>上述两个案例的差异化表现，与表5.8中协同方案在DrugBank上的Macro-F1损失约1.60%这一全局指标在方向上一致。两个案例的置信度损失均控制在0.05%以内，使协同轻量化方案在结构线索集中或分散的样本上都能给出与baseline基本一致的预测。其实这一案例粒度的对比说明，协同轻量化方案在牺牲约1.6%精度换取约48%显存节省的同时，其知识子图驱动的可解释推理能力在典型药物对上仍然得到了保留，可作为本章轻量化方案适用于资源受限医疗边缘部署的补充证据。</w:t>
      </w:r>
    </w:p>
    <w:p w14:paraId="48EE7177">
      <w:pPr>
        <w:pStyle w:val="167"/>
        <w:spacing w:before="120" w:after="120"/>
        <w:jc w:val="left"/>
      </w:pPr>
      <w:r>
        <w:rPr>
          <w:color w:val="000000"/>
        </w:rPr>
        <w:t>5.8 本章小结</w:t>
      </w:r>
    </w:p>
    <w:p w14:paraId="65646D38">
      <w:pPr>
        <w:pStyle w:val="136"/>
        <w:jc w:val="both"/>
      </w:pPr>
      <w:r>
        <w:rPr>
          <w:color w:val="000000"/>
        </w:rPr>
        <w:t>本章基于第四章的方案设计，对消融与轻量化两条主线展开了系统的实证验证。消融实验（5.1～5.3节）显示：DrugBank上去噪机制取得最高Macro-F1（91.52），补全机制则在ACC和Cohen's κ上略胜基线，二者联合时整体一致性达到最优；TWOSIDES上由于补全激活比例偏低（约0.7%），各变体均未超过基线，说明图结构学习对数据集的稀疏度与类别分布相当敏感。轻量化评测（5.4～5.6节）显示：DrugBank上特征压缩以约0.58%的Macro-F1代价换得约48%的显存与推理时长节省，是性价比最高的单一方案，子图稀疏采样在显存压缩弹性上更强但精度损失略大，二者协同收益有限；TWOSIDES上因开销主要受数据规模主导，模型层面的压缩收益不显著。综合来看，去噪与补全在不同任务场景中呈现差异化贡献，而面向边缘部署应针对数据集特性选择压缩策略——精度优先选特征压缩，显存极限选稀疏采样，TWOSIDES类任务则更应着眼于推理引擎与批处理等系统层面的优化。</w:t>
      </w:r>
      <w:r>
        <w:rPr>
          <w:rFonts w:ascii="Times New Roman" w:hAnsi="Times New Roman" w:eastAsia="宋体"/>
          <w:b w:val="0"/>
          <w:color w:val="CC9900"/>
          <w:sz w:val="24"/>
        </w:rPr>
        <w:t>5.7节通过Reboxetine→Atomoxetine与Atropine→Scopolamine两个典型药物对，对baseline与协同轻量化模型在案例粒度上的Top-1类别与置信度做了对比，两案例的置信度损失均不超过0.05%，预测类别与Top-3排序保持稳定，使协同轻量化方案在牺牲约1.6%精度的同时仍保留知识子图驱动的可解释推理能力，为本章面向资源受限医疗边缘部署的轻量化结论补充了案例粒度的实证支撑。</w:t>
      </w:r>
    </w:p>
    <w:p w14:paraId="113360C0">
      <w:pPr>
        <w:spacing w:before="240" w:after="240"/>
        <w:ind w:firstLine="0"/>
        <w:jc w:val="center"/>
        <w:outlineLvl w:val="0"/>
        <w:rPr>
          <w:rFonts w:ascii="Arial" w:hAnsi="Arial" w:eastAsia="黑体"/>
          <w:b/>
          <w:color w:val="000000"/>
          <w:sz w:val="32"/>
        </w:rPr>
      </w:pPr>
    </w:p>
    <w:p w14:paraId="45F431FE">
      <w:pPr>
        <w:spacing w:before="240" w:after="240"/>
        <w:ind w:firstLine="0"/>
        <w:jc w:val="center"/>
        <w:outlineLvl w:val="0"/>
        <w:rPr>
          <w:rFonts w:ascii="Arial" w:hAnsi="Arial" w:eastAsia="黑体"/>
          <w:b/>
          <w:color w:val="000000"/>
          <w:sz w:val="32"/>
        </w:rPr>
      </w:pPr>
    </w:p>
    <w:p w14:paraId="6E7E8BE2">
      <w:pPr>
        <w:spacing w:before="240" w:after="240"/>
        <w:ind w:firstLine="0"/>
        <w:jc w:val="center"/>
        <w:outlineLvl w:val="0"/>
        <w:rPr>
          <w:rFonts w:ascii="Arial" w:hAnsi="Arial" w:eastAsia="黑体"/>
          <w:b/>
          <w:color w:val="000000"/>
          <w:sz w:val="32"/>
        </w:rPr>
      </w:pPr>
    </w:p>
    <w:p w14:paraId="07EB43A7">
      <w:pPr>
        <w:spacing w:before="240" w:after="240"/>
        <w:ind w:firstLine="0"/>
        <w:jc w:val="center"/>
        <w:outlineLvl w:val="0"/>
        <w:rPr>
          <w:rFonts w:ascii="Arial" w:hAnsi="Arial" w:eastAsia="黑体"/>
          <w:b/>
          <w:color w:val="000000"/>
          <w:sz w:val="32"/>
        </w:rPr>
      </w:pPr>
    </w:p>
    <w:p w14:paraId="171C448A">
      <w:pPr>
        <w:spacing w:before="240" w:after="240"/>
        <w:ind w:firstLine="0"/>
        <w:jc w:val="center"/>
        <w:outlineLvl w:val="0"/>
        <w:rPr>
          <w:rFonts w:ascii="Arial" w:hAnsi="Arial" w:eastAsia="黑体"/>
          <w:b/>
          <w:color w:val="000000"/>
          <w:sz w:val="32"/>
        </w:rPr>
      </w:pPr>
    </w:p>
    <w:p w14:paraId="76DE1793">
      <w:pPr>
        <w:spacing w:before="240" w:after="240"/>
        <w:ind w:firstLine="0"/>
        <w:jc w:val="center"/>
        <w:outlineLvl w:val="0"/>
        <w:rPr>
          <w:rFonts w:ascii="Arial" w:hAnsi="Arial" w:eastAsia="黑体"/>
          <w:b/>
          <w:color w:val="000000"/>
          <w:sz w:val="32"/>
        </w:rPr>
      </w:pPr>
    </w:p>
    <w:p w14:paraId="13E48291">
      <w:pPr>
        <w:spacing w:before="240" w:after="240"/>
        <w:ind w:firstLine="0"/>
        <w:jc w:val="center"/>
        <w:outlineLvl w:val="0"/>
        <w:rPr>
          <w:rFonts w:ascii="Arial" w:hAnsi="Arial" w:eastAsia="黑体"/>
          <w:b/>
          <w:color w:val="000000"/>
          <w:sz w:val="32"/>
        </w:rPr>
      </w:pPr>
    </w:p>
    <w:p w14:paraId="40DB5B04">
      <w:pPr>
        <w:spacing w:before="240" w:after="240"/>
        <w:ind w:firstLine="0"/>
        <w:jc w:val="center"/>
        <w:outlineLvl w:val="0"/>
        <w:rPr>
          <w:rFonts w:ascii="Arial" w:hAnsi="Arial" w:eastAsia="黑体"/>
          <w:b/>
          <w:color w:val="000000"/>
          <w:sz w:val="32"/>
        </w:rPr>
      </w:pPr>
    </w:p>
    <w:p w14:paraId="44E350C0">
      <w:pPr>
        <w:spacing w:before="240" w:after="240"/>
        <w:ind w:firstLine="0"/>
        <w:jc w:val="center"/>
        <w:outlineLvl w:val="0"/>
      </w:pPr>
      <w:r>
        <w:rPr>
          <w:rFonts w:ascii="Arial" w:hAnsi="Arial" w:eastAsia="黑体"/>
          <w:b/>
          <w:color w:val="000000"/>
          <w:sz w:val="32"/>
        </w:rPr>
        <w:t>第六章  总结与展望</w:t>
      </w:r>
    </w:p>
    <w:p w14:paraId="35915E77">
      <w:pPr>
        <w:spacing w:before="120" w:after="120"/>
        <w:ind w:firstLine="0"/>
        <w:jc w:val="left"/>
        <w:outlineLvl w:val="1"/>
      </w:pPr>
      <w:r>
        <w:rPr>
          <w:rFonts w:ascii="Arial" w:hAnsi="Arial" w:eastAsia="黑体"/>
          <w:b/>
          <w:color w:val="000000"/>
          <w:sz w:val="28"/>
        </w:rPr>
        <w:t>6.1 工作总结</w:t>
      </w:r>
    </w:p>
    <w:p w14:paraId="371393E1">
      <w:pPr>
        <w:spacing w:line="440" w:lineRule="exact"/>
        <w:ind w:firstLine="482"/>
        <w:jc w:val="both"/>
      </w:pPr>
      <w:r>
        <w:rPr>
          <w:rFonts w:ascii="Times New Roman" w:hAnsi="Times New Roman" w:eastAsia="宋体"/>
          <w:b w:val="0"/>
          <w:color w:val="000000"/>
          <w:sz w:val="24"/>
        </w:rPr>
        <w:t>本文以药物-药物相互作用（DDI）预测为核心研究问题，以KnowDDI模型为基础实现平台，围绕图结构学习机制解耦与面向边缘部署的轻量化重构两条主线，完成了以下研究工作：</w:t>
      </w:r>
    </w:p>
    <w:p w14:paraId="23840F88">
      <w:pPr>
        <w:spacing w:line="440" w:lineRule="exact"/>
        <w:ind w:firstLine="482"/>
        <w:jc w:val="both"/>
        <w:outlineLvl w:val="2"/>
      </w:pPr>
      <w:r>
        <w:rPr>
          <w:rFonts w:ascii="Times New Roman" w:hAnsi="Times New Roman" w:eastAsia="宋体"/>
          <w:b w:val="0"/>
          <w:color w:val="000000"/>
          <w:sz w:val="24"/>
        </w:rPr>
        <w:t>（1）KnowDDI基准复现</w:t>
      </w:r>
    </w:p>
    <w:p w14:paraId="01F776FB">
      <w:pPr>
        <w:spacing w:line="440" w:lineRule="exact"/>
        <w:ind w:firstLine="482"/>
        <w:jc w:val="both"/>
      </w:pPr>
      <w:r>
        <w:rPr>
          <w:rFonts w:ascii="Times New Roman" w:hAnsi="Times New Roman" w:eastAsia="宋体"/>
          <w:b w:val="0"/>
          <w:color w:val="000000"/>
          <w:sz w:val="24"/>
        </w:rPr>
        <w:t>在本地研究环境中搭建了基于Python 3.11、PyTorch 2.0和DGL 1.1的深度学习实验框架，解决了新硬件平台与原始代码环境不兼容的问题。成功完成了KnowDDI模型在DrugBank（Macro-F1 = 91.49、ACC = 92.86、Cohen's κ = 91.53）和TWOSIDES（AUROC = 95.44、AUPRC = 94.11）两个基准数据集上的复现，结果与原论文接近，建立了后续改进实验的可靠对比基线。</w:t>
      </w:r>
    </w:p>
    <w:p w14:paraId="7427E8E7">
      <w:pPr>
        <w:spacing w:line="440" w:lineRule="exact"/>
        <w:ind w:firstLine="482"/>
        <w:jc w:val="both"/>
        <w:outlineLvl w:val="2"/>
      </w:pPr>
      <w:r>
        <w:rPr>
          <w:rFonts w:ascii="Times New Roman" w:hAnsi="Times New Roman" w:eastAsia="宋体"/>
          <w:b w:val="0"/>
          <w:color w:val="000000"/>
          <w:sz w:val="24"/>
        </w:rPr>
        <w:t>（2）图结构学习机制的消融解耦</w:t>
      </w:r>
    </w:p>
    <w:p w14:paraId="04E1D39B">
      <w:pPr>
        <w:spacing w:line="440" w:lineRule="exact"/>
        <w:ind w:firstLine="482"/>
        <w:jc w:val="both"/>
      </w:pPr>
      <w:r>
        <w:rPr>
          <w:rFonts w:ascii="Times New Roman" w:hAnsi="Times New Roman" w:eastAsia="宋体"/>
          <w:b w:val="0"/>
          <w:color w:val="000000"/>
          <w:sz w:val="24"/>
        </w:rPr>
        <w:t>设计并实施了系统性的受控消融实验，构建了baseline、仅去噪（Denoise-only）、仅补全（Completion-only）和去噪+补全（Denoise+Completion）四组受控变体。在DrugBank与TWOSIDES两个数据集上开展对比实验，首次对图结构学习中的去噪与补全机制进行了定量解耦分析。</w:t>
      </w:r>
    </w:p>
    <w:p w14:paraId="6B10F350">
      <w:pPr>
        <w:spacing w:line="440" w:lineRule="exact"/>
        <w:ind w:firstLine="482"/>
        <w:jc w:val="both"/>
      </w:pPr>
      <w:r>
        <w:rPr>
          <w:rFonts w:ascii="Times New Roman" w:hAnsi="Times New Roman" w:eastAsia="宋体"/>
          <w:b w:val="0"/>
          <w:color w:val="000000"/>
          <w:sz w:val="24"/>
        </w:rPr>
        <w:t>主要发现：在DrugBank多分类任务上，去噪机制更有利于提升类别均衡意义下的预测性能（Macro-F1），补全机制更有利于增强整体预测一致性（ACC、Cohen's κ）；在TWOSIDES多标签任务上，原始基线模型表现最优，两种机制均未带来显著增益，且补全模块的激活比例极低（0.62%~0.79%）。上述结果表明，去噪与补全具有差异化的边际贡献模式和数据集相关的适用边界。</w:t>
      </w:r>
    </w:p>
    <w:p w14:paraId="3AF7953E">
      <w:pPr>
        <w:spacing w:line="440" w:lineRule="exact"/>
        <w:ind w:firstLine="482"/>
        <w:jc w:val="both"/>
        <w:outlineLvl w:val="2"/>
      </w:pPr>
      <w:r>
        <w:rPr>
          <w:rFonts w:ascii="Times New Roman" w:hAnsi="Times New Roman" w:eastAsia="宋体"/>
          <w:b w:val="0"/>
          <w:color w:val="000000"/>
          <w:sz w:val="24"/>
        </w:rPr>
        <w:t>（3）面向边缘部署的轻量化重构与评测</w:t>
      </w:r>
    </w:p>
    <w:p w14:paraId="32C5F2E9">
      <w:pPr>
        <w:spacing w:line="440" w:lineRule="exact"/>
        <w:ind w:firstLine="482"/>
        <w:jc w:val="both"/>
      </w:pPr>
      <w:r>
        <w:rPr>
          <w:rFonts w:ascii="Times New Roman" w:hAnsi="Times New Roman" w:eastAsia="宋体"/>
          <w:b w:val="0"/>
          <w:color w:val="000000"/>
          <w:sz w:val="24"/>
        </w:rPr>
        <w:t>提出了"拓扑-参数"协同压缩策略，设计并评估了仅子图稀疏采样（Sparse-only）、仅多维特征压缩（Feature-only）和协同优化（Sparse+Feature）三类轻量化方案。</w:t>
      </w:r>
    </w:p>
    <w:p w14:paraId="5C27220F">
      <w:pPr>
        <w:spacing w:line="440" w:lineRule="exact"/>
        <w:ind w:firstLine="482"/>
        <w:jc w:val="both"/>
      </w:pPr>
      <w:r>
        <w:rPr>
          <w:rFonts w:ascii="Times New Roman" w:hAnsi="Times New Roman" w:eastAsia="宋体"/>
          <w:b w:val="0"/>
          <w:color w:val="000000"/>
          <w:sz w:val="24"/>
        </w:rPr>
        <w:t>在DrugBank上，特征压缩方案（50%压缩比）在仅损失0.58% Macro-F1的前提下实现了约48%的显存节省和推理时长缩短，是精度损失最小的单维度轻量化策略；在TWOSIDES上，Sparse-only方案的AUROC（95.50）和AUPRC（94.24）小幅高于基线（结合标准差分析属于正常波动），三类轻量化方案对TWOSIDES的精度影响均极小（变化不超过0.21%），但效率收益也相对有限（推理时长节省不超过10%），说明该场景的计算瓶颈主要在数据规模层面。</w:t>
      </w:r>
    </w:p>
    <w:p w14:paraId="20707CA1">
      <w:pPr>
        <w:spacing w:before="120" w:after="120"/>
        <w:ind w:firstLine="0"/>
        <w:jc w:val="left"/>
        <w:outlineLvl w:val="1"/>
      </w:pPr>
      <w:r>
        <w:rPr>
          <w:rFonts w:ascii="Arial" w:hAnsi="Arial" w:eastAsia="黑体"/>
          <w:b/>
          <w:color w:val="000000"/>
          <w:sz w:val="28"/>
        </w:rPr>
        <w:t>6.2 研究局限性</w:t>
      </w:r>
    </w:p>
    <w:p w14:paraId="0F7C242D">
      <w:pPr>
        <w:spacing w:line="440" w:lineRule="exact"/>
        <w:ind w:firstLine="482"/>
        <w:jc w:val="both"/>
      </w:pPr>
      <w:r>
        <w:rPr>
          <w:rFonts w:ascii="Times New Roman" w:hAnsi="Times New Roman" w:eastAsia="宋体"/>
          <w:b w:val="0"/>
          <w:color w:val="000000"/>
          <w:sz w:val="24"/>
        </w:rPr>
        <w:t>本研究存在以下几点主要局限性：</w:t>
      </w:r>
    </w:p>
    <w:p w14:paraId="04BD1884">
      <w:pPr>
        <w:spacing w:line="440" w:lineRule="exact"/>
        <w:ind w:firstLine="482"/>
        <w:jc w:val="both"/>
      </w:pPr>
      <w:r>
        <w:rPr>
          <w:rFonts w:ascii="Times New Roman" w:hAnsi="Times New Roman" w:eastAsia="宋体"/>
          <w:b w:val="0"/>
          <w:color w:val="000000"/>
          <w:sz w:val="24"/>
        </w:rPr>
        <w:t>（1）实验规模限制：本文的消融实验仅在DrugBank和TWOSIDES两个数据集上开展，研究结论的普适性有待在更多DDI数据集（如OGB-biokg、OGBL-ddi等）上进一步验证。</w:t>
      </w:r>
    </w:p>
    <w:p w14:paraId="1CD92034">
      <w:pPr>
        <w:spacing w:line="440" w:lineRule="exact"/>
        <w:ind w:firstLine="482"/>
        <w:jc w:val="both"/>
      </w:pPr>
      <w:r>
        <w:rPr>
          <w:rFonts w:ascii="Times New Roman" w:hAnsi="Times New Roman" w:eastAsia="宋体"/>
          <w:b w:val="0"/>
          <w:color w:val="000000"/>
          <w:sz w:val="24"/>
        </w:rPr>
        <w:t>（2）轻量化策略的局限性：本文采用的子图稀疏采样策略基于随机采样或简单阈值控制，未引入基于节点重要性（如PageRank、度中心性）的自适应采样策略。更智能的稀疏化方法可能在相同压缩比例下取得更小的精度损失。</w:t>
      </w:r>
    </w:p>
    <w:p w14:paraId="7609C845">
      <w:pPr>
        <w:spacing w:line="440" w:lineRule="exact"/>
        <w:ind w:firstLine="482"/>
        <w:jc w:val="both"/>
      </w:pPr>
      <w:r>
        <w:rPr>
          <w:rFonts w:ascii="Times New Roman" w:hAnsi="Times New Roman" w:eastAsia="宋体"/>
          <w:b w:val="0"/>
          <w:color w:val="000000"/>
          <w:sz w:val="24"/>
        </w:rPr>
        <w:t>（3）硬件评测环境的代表性：本文的推理时延和显存峰值测量在标准GPU服务器环境中进行，未在真实的医疗边缘设备（如ARM Cortex处理器、嵌入式GPU）上进行实际部署测试。边缘端的实际推理性能可能与本文报告结果存在差异。</w:t>
      </w:r>
    </w:p>
    <w:p w14:paraId="507DA65F">
      <w:pPr>
        <w:spacing w:line="440" w:lineRule="exact"/>
        <w:ind w:firstLine="482"/>
        <w:jc w:val="both"/>
      </w:pPr>
      <w:r>
        <w:rPr>
          <w:rFonts w:ascii="Times New Roman" w:hAnsi="Times New Roman" w:eastAsia="宋体"/>
          <w:b w:val="0"/>
          <w:color w:val="CC9900"/>
          <w:sz w:val="24"/>
        </w:rPr>
        <w:t>（4）可解释性分析的深度，本文已在5.7节通过两个典型药物对对baseline与轻量化模型的预测置信度做了对比，但是仍未深入展开知识子图边权的可视化与生物医学路径的系统解析，可解释性分析的深度仍有待加强。</w:t>
      </w:r>
    </w:p>
    <w:p w14:paraId="41D17784">
      <w:pPr>
        <w:spacing w:line="440" w:lineRule="exact"/>
        <w:ind w:firstLine="482"/>
        <w:jc w:val="both"/>
      </w:pPr>
      <w:r>
        <w:rPr>
          <w:rFonts w:ascii="Times New Roman" w:hAnsi="Times New Roman" w:eastAsia="宋体"/>
          <w:b w:val="0"/>
          <w:color w:val="000000"/>
          <w:sz w:val="24"/>
        </w:rPr>
        <w:t>（5）补全机制的设计局限：当前补全机制在TWOSIDES上的激活比例极低（0.62%~0.79%），说明补全策略对该数据集的适应性不足，未来需要针对不同数据集特性设计更具自适应性的补全阈值策略。</w:t>
      </w:r>
    </w:p>
    <w:p w14:paraId="7E78847B">
      <w:pPr>
        <w:spacing w:before="120" w:after="120"/>
        <w:ind w:firstLine="0"/>
        <w:jc w:val="left"/>
        <w:outlineLvl w:val="1"/>
      </w:pPr>
      <w:r>
        <w:rPr>
          <w:rFonts w:ascii="Arial" w:hAnsi="Arial" w:eastAsia="黑体"/>
          <w:b/>
          <w:color w:val="000000"/>
          <w:sz w:val="28"/>
        </w:rPr>
        <w:t>6.3 研究展望</w:t>
      </w:r>
    </w:p>
    <w:p w14:paraId="0409DD0C">
      <w:pPr>
        <w:spacing w:line="440" w:lineRule="exact"/>
        <w:ind w:firstLine="482"/>
        <w:jc w:val="both"/>
      </w:pPr>
      <w:r>
        <w:rPr>
          <w:rFonts w:ascii="Times New Roman" w:hAnsi="Times New Roman" w:eastAsia="宋体"/>
          <w:b w:val="0"/>
          <w:color w:val="000000"/>
          <w:sz w:val="24"/>
        </w:rPr>
        <w:t>基于本文的研究成果和局限性分析，对未来研究方向提出以下展望：</w:t>
      </w:r>
    </w:p>
    <w:p w14:paraId="66A3D15C">
      <w:pPr>
        <w:spacing w:line="440" w:lineRule="exact"/>
        <w:ind w:firstLine="482"/>
        <w:jc w:val="both"/>
        <w:outlineLvl w:val="2"/>
      </w:pPr>
      <w:r>
        <w:rPr>
          <w:rFonts w:ascii="Times New Roman" w:hAnsi="Times New Roman" w:eastAsia="宋体"/>
          <w:b w:val="0"/>
          <w:color w:val="000000"/>
          <w:sz w:val="24"/>
        </w:rPr>
        <w:t>（1）自适应图结构学习策略</w:t>
      </w:r>
    </w:p>
    <w:p w14:paraId="092B7485">
      <w:pPr>
        <w:spacing w:line="440" w:lineRule="exact"/>
        <w:ind w:firstLine="482"/>
        <w:jc w:val="both"/>
      </w:pPr>
      <w:r>
        <w:rPr>
          <w:rFonts w:ascii="Times New Roman" w:hAnsi="Times New Roman" w:eastAsia="宋体"/>
          <w:b w:val="0"/>
          <w:color w:val="000000"/>
          <w:sz w:val="24"/>
        </w:rPr>
        <w:t>未来可以在当前基于固定阈值的图稀疏化基础上，引入基于图拓扑统计（如节点度分布、聚类系数）的自适应阈值机制，使去噪与补全操作能够根据不同药物对局部子图的特征动态调整激活强度，提升图结构学习机制在不同数据分布下的普适性。</w:t>
      </w:r>
    </w:p>
    <w:p w14:paraId="538BC4A1">
      <w:pPr>
        <w:spacing w:line="440" w:lineRule="exact"/>
        <w:ind w:firstLine="482"/>
        <w:jc w:val="both"/>
        <w:outlineLvl w:val="2"/>
      </w:pPr>
      <w:r>
        <w:rPr>
          <w:rFonts w:ascii="Times New Roman" w:hAnsi="Times New Roman" w:eastAsia="宋体"/>
          <w:b w:val="0"/>
          <w:color w:val="000000"/>
          <w:sz w:val="24"/>
        </w:rPr>
        <w:t>（2）面向真实边缘设备的模型量化与部署</w:t>
      </w:r>
    </w:p>
    <w:p w14:paraId="5794B50B">
      <w:pPr>
        <w:spacing w:line="440" w:lineRule="exact"/>
        <w:ind w:firstLine="482"/>
        <w:jc w:val="both"/>
      </w:pPr>
      <w:r>
        <w:rPr>
          <w:rFonts w:ascii="Times New Roman" w:hAnsi="Times New Roman" w:eastAsia="宋体"/>
          <w:b w:val="0"/>
          <w:color w:val="000000"/>
          <w:sz w:val="24"/>
        </w:rPr>
        <w:t>在本文轻量化架构的基础上，结合模型量化（INT8/FP16混合精度）、算子融合等推理引擎优化技术，将轻量化KnowDDI模型实际部署到ARM Cortex-M、NVIDIA Jetson等医疗边缘硬件平台上，测量真实设备上的推理延迟和功耗，为面向医疗IoT场景的DDI实时预警系统提供实践基础。</w:t>
      </w:r>
    </w:p>
    <w:p w14:paraId="0333485E">
      <w:pPr>
        <w:spacing w:line="440" w:lineRule="exact"/>
        <w:ind w:firstLine="482"/>
        <w:jc w:val="both"/>
        <w:outlineLvl w:val="2"/>
      </w:pPr>
      <w:r>
        <w:rPr>
          <w:rFonts w:ascii="Times New Roman" w:hAnsi="Times New Roman" w:eastAsia="宋体"/>
          <w:b w:val="0"/>
          <w:color w:val="000000"/>
          <w:sz w:val="24"/>
        </w:rPr>
        <w:t>（3）与大语言模型（LLM）的融合</w:t>
      </w:r>
    </w:p>
    <w:p w14:paraId="3FD73F63">
      <w:pPr>
        <w:spacing w:line="440" w:lineRule="exact"/>
        <w:ind w:firstLine="482"/>
        <w:jc w:val="both"/>
      </w:pPr>
      <w:r>
        <w:rPr>
          <w:rFonts w:ascii="Times New Roman" w:hAnsi="Times New Roman" w:eastAsia="宋体"/>
          <w:b w:val="0"/>
          <w:color w:val="000000"/>
          <w:sz w:val="24"/>
        </w:rPr>
        <w:t>近年来，以GPT-4、Med-PaLM为代表的大型预训练语言模型在生物医学领域展现出强大的知识理解和推理能力。将LLM的语义理解能力与本文的图结构学习框架结合，有望构建具有更强背景知识整合能力的DDI预测系统，进一步提升小样本场景下的泛化性能。</w:t>
      </w:r>
      <w:r>
        <w:rPr>
          <w:color w:val="FF0000"/>
        </w:rPr>
        <w:t xml:space="preserve"> 随着药学基础模型的发展，后续可以把图结构学习和大模型表征做对齐，使跨任务迁移能力更强，同时保留可解释约束带来的可靠性[20]。</w:t>
      </w:r>
    </w:p>
    <w:p w14:paraId="2925FBE6">
      <w:pPr>
        <w:spacing w:line="440" w:lineRule="exact"/>
        <w:ind w:firstLine="482"/>
        <w:jc w:val="both"/>
        <w:outlineLvl w:val="2"/>
      </w:pPr>
      <w:r>
        <w:rPr>
          <w:rFonts w:ascii="Times New Roman" w:hAnsi="Times New Roman" w:eastAsia="宋体"/>
          <w:b w:val="0"/>
          <w:color w:val="000000"/>
          <w:sz w:val="24"/>
        </w:rPr>
        <w:t>（4）多模态药物表示学习</w:t>
      </w:r>
    </w:p>
    <w:p w14:paraId="58F8E00F">
      <w:pPr>
        <w:spacing w:line="440" w:lineRule="exact"/>
        <w:ind w:firstLine="482"/>
        <w:jc w:val="both"/>
      </w:pPr>
      <w:r>
        <w:rPr>
          <w:rFonts w:ascii="Times New Roman" w:hAnsi="Times New Roman" w:eastAsia="宋体"/>
          <w:b w:val="0"/>
          <w:color w:val="000000"/>
          <w:sz w:val="24"/>
        </w:rPr>
        <w:t>当前KnowDDI主要依赖知识图谱的拓扑结构信息作为药物表示。未来可引入药物分子指纹、SMILES字符串、蛋白质序列等多模态特征，构建更丰富的药物表示，结合图结构学习的关系建模能力，有望进一步提升DDI预测的精度和可解释性。</w:t>
      </w:r>
    </w:p>
    <w:p w14:paraId="66A66B54">
      <w:pPr>
        <w:spacing w:line="440" w:lineRule="exact"/>
        <w:ind w:firstLine="482"/>
        <w:jc w:val="both"/>
        <w:outlineLvl w:val="2"/>
      </w:pPr>
      <w:r>
        <w:rPr>
          <w:rFonts w:ascii="Times New Roman" w:hAnsi="Times New Roman" w:eastAsia="宋体"/>
          <w:b w:val="0"/>
          <w:color w:val="000000"/>
          <w:sz w:val="24"/>
        </w:rPr>
        <w:t>（5）跨数据集迁移学习</w:t>
      </w:r>
    </w:p>
    <w:p w14:paraId="623CDF56">
      <w:pPr>
        <w:spacing w:line="440" w:lineRule="exact"/>
        <w:ind w:firstLine="482"/>
        <w:jc w:val="both"/>
      </w:pPr>
      <w:r>
        <w:rPr>
          <w:rFonts w:ascii="Times New Roman" w:hAnsi="Times New Roman" w:eastAsia="宋体"/>
          <w:b w:val="0"/>
          <w:color w:val="000000"/>
          <w:sz w:val="24"/>
        </w:rPr>
        <w:t>消融实验揭示了图结构学习机制在DrugBank和TWOSIDES上的适用边界差异。未来可探索基于元学习（Meta-Learning）或领域自适应（Domain Adaptation）的跨数据集迁移策略，使模型能够自适应地在不同DDI数据集特性下调整图结构学习的策略，提升模型的跨场景泛化能力。</w:t>
      </w:r>
    </w:p>
    <w:p w14:paraId="07F8AFF5">
      <w:r>
        <w:br w:type="page"/>
      </w:r>
    </w:p>
    <w:p w14:paraId="731EE57A">
      <w:pPr>
        <w:spacing w:before="240" w:after="240"/>
        <w:ind w:firstLine="0"/>
        <w:jc w:val="center"/>
        <w:outlineLvl w:val="0"/>
      </w:pPr>
      <w:r>
        <w:rPr>
          <w:rFonts w:ascii="Arial" w:hAnsi="Arial" w:eastAsia="黑体"/>
          <w:b/>
          <w:color w:val="000000"/>
          <w:sz w:val="32"/>
        </w:rPr>
        <w:t>参考文献</w:t>
      </w:r>
    </w:p>
    <w:p w14:paraId="0A97C10B">
      <w:pPr>
        <w:ind w:firstLine="0"/>
        <w:jc w:val="both"/>
      </w:pPr>
      <w:r>
        <w:rPr>
          <w:color w:val="FF0000"/>
        </w:rPr>
        <w:t>[1] LIN S, WANG Y, ZHANG L, et al. Comprehensive evaluation of deep and graph learning on drug-drug interactions prediction[J]. Briefings in Bioinformatics, 2023, 24(4): bbad235.</w:t>
      </w:r>
    </w:p>
    <w:p w14:paraId="150ECA52">
      <w:pPr>
        <w:ind w:firstLine="0"/>
        <w:jc w:val="both"/>
      </w:pPr>
      <w:r>
        <w:rPr>
          <w:color w:val="000000"/>
        </w:rPr>
        <w:t>[2] BORDES A, USUNIER N, GARCIA-DURAN A, et al. Translating embeddings for modeling multi-relational data[C]//Advances in Neural Information Processing Systems. 2013: 2787-2795.</w:t>
      </w:r>
    </w:p>
    <w:p w14:paraId="29904065">
      <w:pPr>
        <w:ind w:firstLine="0"/>
        <w:jc w:val="both"/>
      </w:pPr>
      <w:r>
        <w:rPr>
          <w:color w:val="000000"/>
        </w:rPr>
        <w:t>[3] GROVER A, LESKOVEC J. node2vec: Scalable feature learning for networks[C]//Proceedings of the 22nd ACM SIGKDD International Conference on Knowledge Discovery and Data Mining. 2016: 855-864.</w:t>
      </w:r>
    </w:p>
    <w:p w14:paraId="4BD7B7A4">
      <w:pPr>
        <w:ind w:firstLine="0"/>
        <w:jc w:val="both"/>
      </w:pPr>
      <w:r>
        <w:rPr>
          <w:color w:val="000000"/>
        </w:rPr>
        <w:t>[4] ZITNIK M, AGU F, LESKOVEC J. Modeling polypharmacy side effects with graph convolutional networks[J]. Bioinformatics, 2018, 34(13): i457-i466.</w:t>
      </w:r>
    </w:p>
    <w:p w14:paraId="76450ACC">
      <w:pPr>
        <w:ind w:firstLine="0"/>
        <w:jc w:val="both"/>
      </w:pPr>
      <w:r>
        <w:rPr>
          <w:color w:val="000000"/>
        </w:rPr>
        <w:t>[5] HUANG K, XIAO C, GLASS L M, et al. SkipGNN: predicting molecular interactions with skip-graph networks[J]. Scientific Reports, 2020, 10(1): 21092.</w:t>
      </w:r>
    </w:p>
    <w:p w14:paraId="04584602">
      <w:pPr>
        <w:ind w:firstLine="0"/>
        <w:jc w:val="both"/>
      </w:pPr>
      <w:r>
        <w:rPr>
          <w:color w:val="FF0000"/>
        </w:rPr>
        <w:t>[6] LI Z, ZHU S, SHAO B, et al. DSN-DDI: an accurate and generalized framework for drug-drug interaction prediction by dual-view representation learning[J]. Briefings in Bioinformatics, 2023, 24(1): bbac597.</w:t>
      </w:r>
    </w:p>
    <w:p w14:paraId="1A0C2BD7">
      <w:pPr>
        <w:ind w:firstLine="0"/>
        <w:jc w:val="both"/>
      </w:pPr>
      <w:r>
        <w:rPr>
          <w:color w:val="000000"/>
        </w:rPr>
        <w:t>[7] LIN X, QUAN Z, WANG Z J, et al. KGNN: Knowledge graph neural network for drug-drug interaction prediction[C]//Proceedings of the 29th International Joint Conference on Artificial Intelligence. 2020: 2739-2745.</w:t>
      </w:r>
    </w:p>
    <w:p w14:paraId="6FD9BEDE">
      <w:pPr>
        <w:ind w:firstLine="0"/>
        <w:jc w:val="both"/>
      </w:pPr>
      <w:r>
        <w:rPr>
          <w:color w:val="000000"/>
        </w:rPr>
        <w:t>[8] YU Y, HUANG K, ZHANG C, et al. SumGNN: multi-typed drug interaction prediction via efficient knowledge graph summarization[J]. Bioinformatics, 2021, 37(18): 2988-2995.</w:t>
      </w:r>
    </w:p>
    <w:p w14:paraId="742B934C">
      <w:pPr>
        <w:ind w:firstLine="0"/>
        <w:jc w:val="both"/>
      </w:pPr>
      <w:r>
        <w:rPr>
          <w:color w:val="000000"/>
        </w:rPr>
        <w:t>[9] WANG Y, YANG Z, YAO Q. Accurate and interpretable drug-drug interaction prediction enabled by knowledge subgraph learning[J]. Communications Medicine, 2024, 4(1): 59.</w:t>
      </w:r>
    </w:p>
    <w:p w14:paraId="78FEFAE3">
      <w:pPr>
        <w:ind w:firstLine="0"/>
        <w:jc w:val="both"/>
      </w:pPr>
      <w:r>
        <w:rPr>
          <w:color w:val="FF0000"/>
        </w:rPr>
        <w:t>[10] LI Y, LIU M J, LI C Y, et al. KA-DDI: a knowledge-adaptive contrastive learning framework for drug-drug interaction prediction[J]. Expert Systems with Applications, 2026, 308: 131076.</w:t>
      </w:r>
    </w:p>
    <w:p w14:paraId="095BEB8A">
      <w:pPr>
        <w:ind w:firstLine="0"/>
        <w:jc w:val="both"/>
      </w:pPr>
      <w:r>
        <w:rPr>
          <w:color w:val="000000"/>
        </w:rPr>
        <w:t>[11] KIPF T N, WELLING M. Semi-supervised classification with graph convolutional networks[C]//International Conference on Learning Representations. 2017.</w:t>
      </w:r>
    </w:p>
    <w:p w14:paraId="48D75D39">
      <w:pPr>
        <w:ind w:firstLine="0"/>
        <w:jc w:val="both"/>
      </w:pPr>
      <w:r>
        <w:rPr>
          <w:color w:val="000000"/>
        </w:rPr>
        <w:t>[12] HAMILTON W L, YING R, LESKOVEC J. Inductive representation learning on large graphs[C]//Advances in Neural Information Processing Systems. 2017: 1024-1034.</w:t>
      </w:r>
    </w:p>
    <w:p w14:paraId="48D75D39">
      <w:pPr>
        <w:ind w:firstLine="0"/>
        <w:jc w:val="both"/>
      </w:pPr>
      <w:r>
        <w:rPr>
          <w:color w:val="000000"/>
        </w:rPr>
        <w:t>[13] VELIČKOVIĆ P, CUCURULL G, CASANOVA A, et al. Graph attention networks[C]//International Conference on Learning Representations. 2018.</w:t>
      </w:r>
    </w:p>
    <w:p w14:paraId="48D75D39">
      <w:pPr>
        <w:ind w:firstLine="0"/>
        <w:jc w:val="both"/>
      </w:pPr>
      <w:r>
        <w:rPr>
          <w:color w:val="FF0000"/>
        </w:rPr>
        <w:t>[14] FATEMI B, ABU-EL-HAIJA S, TSITSULIN A, et al. UGSL: a unified framework for benchmarking graph structure learning[J]. arXiv preprint arXiv:2308.10737, 2023.</w:t>
      </w:r>
    </w:p>
    <w:p w14:paraId="48D75D39">
      <w:pPr>
        <w:ind w:firstLine="0"/>
        <w:jc w:val="both"/>
      </w:pPr>
      <w:r>
        <w:rPr>
          <w:color w:val="000000"/>
        </w:rPr>
        <w:t>[15] WISHART D S, FEUNANG Y D, GUO A C, et al. DrugBank 5.0: a major update to the DrugBank database for 2018[J]. Nucleic Acids Research, 2018, 46(D1): D1074-D1082.</w:t>
      </w:r>
    </w:p>
    <w:p w14:paraId="48D75D39">
      <w:pPr>
        <w:ind w:firstLine="0"/>
        <w:jc w:val="both"/>
      </w:pPr>
      <w:r>
        <w:rPr>
          <w:color w:val="000000"/>
        </w:rPr>
        <w:t>[16] TATONETTI N P, YE P P, DANESHJOU R, et al. Data-driven prediction of drug effects and interactions[J]. Science Translational Medicine, 2012, 4(125): 125ra31.</w:t>
      </w:r>
    </w:p>
    <w:p w14:paraId="48D75D39">
      <w:pPr>
        <w:ind w:firstLine="0"/>
        <w:jc w:val="both"/>
      </w:pPr>
      <w:r>
        <w:rPr>
          <w:color w:val="FF0000"/>
        </w:rPr>
        <w:t>[17] LI Z, WANG L, SUN X, et al. GSLB: the graph structure learning benchmark[C]//Advances in Neural Information Processing Systems Track on Datasets and Benchmarks. 2023.</w:t>
      </w:r>
    </w:p>
    <w:p w14:paraId="48D75D39">
      <w:pPr>
        <w:ind w:firstLine="0"/>
        <w:jc w:val="both"/>
      </w:pPr>
      <w:r>
        <w:rPr>
          <w:color w:val="FF0000"/>
        </w:rPr>
        <w:t>[18] SHAO Y, LI H, GU X, et al. Distributed graph neural network training: a survey[J]. arXiv preprint arXiv:2211.00216, 2023.</w:t>
      </w:r>
    </w:p>
    <w:p w14:paraId="48D75D39">
      <w:pPr>
        <w:ind w:firstLine="0"/>
        <w:jc w:val="both"/>
      </w:pPr>
      <w:r>
        <w:rPr>
          <w:color w:val="FF0000"/>
        </w:rPr>
        <w:t>[19] 戴翰文, 杨铖. 针对小图分类的端到端图卷积神经网络推理加速[J]. 舰船电子对抗, 2025, 48(3): 81-87.</w:t>
      </w:r>
    </w:p>
    <w:p w14:paraId="48D75D39">
      <w:pPr>
        <w:ind w:firstLine="0"/>
        <w:jc w:val="both"/>
      </w:pPr>
      <w:r>
        <w:rPr>
          <w:color w:val="FF0000"/>
        </w:rPr>
        <w:t>[20] BRAN A M, COX S, SCHILTER O, et al. Augmenting large language models with chemistry tools[J]. Nature Machine Intelligence, 2024, 6(5): 525-535.</w:t>
      </w:r>
    </w:p>
    <w:p w14:paraId="6AB969A4">
      <w:r>
        <w:br w:type="page"/>
      </w:r>
    </w:p>
    <w:p w14:paraId="3456EBF8">
      <w:pPr>
        <w:spacing w:before="240" w:after="240"/>
        <w:ind w:firstLine="0"/>
        <w:jc w:val="center"/>
        <w:outlineLvl w:val="0"/>
      </w:pPr>
      <w:r>
        <w:rPr>
          <w:rFonts w:ascii="Arial" w:hAnsi="Arial" w:eastAsia="黑体"/>
          <w:b/>
          <w:color w:val="000000"/>
          <w:sz w:val="32"/>
        </w:rPr>
        <w:t>致  谢</w:t>
      </w:r>
    </w:p>
    <w:p w14:paraId="0957051C">
      <w:pPr>
        <w:spacing w:line="440" w:lineRule="exact"/>
        <w:ind w:firstLine="482"/>
        <w:jc w:val="both"/>
      </w:pPr>
      <w:r>
        <w:rPr>
          <w:rFonts w:ascii="Times New Roman" w:hAnsi="Times New Roman" w:eastAsia="宋体"/>
          <w:b w:val="0"/>
          <w:color w:val="000000"/>
          <w:sz w:val="24"/>
        </w:rPr>
        <w:t>时光荏苒，数年求学生涯在这篇论文的最后一个句号处悄然画上了阶段性的终点。回望来路，心中涌动着难以言说的感慨与感激。</w:t>
      </w:r>
    </w:p>
    <w:p w14:paraId="272BF130">
      <w:pPr>
        <w:spacing w:line="440" w:lineRule="exact"/>
        <w:ind w:firstLine="482"/>
        <w:jc w:val="both"/>
      </w:pPr>
      <w:r>
        <w:rPr>
          <w:rFonts w:ascii="Times New Roman" w:hAnsi="Times New Roman" w:eastAsia="宋体"/>
          <w:b w:val="0"/>
          <w:color w:val="000000"/>
          <w:sz w:val="24"/>
        </w:rPr>
        <w:t>首先，我要向我的导师致以最诚挚的谢意。从最初懵懂地寻找研究方向，到最终确立以KnowDDI为基础、聚焦图结构学习机制解耦与轻量化部署的研究主题，每一步都离不</w:t>
      </w:r>
      <w:bookmarkStart w:id="35" w:name="_GoBack"/>
      <w:bookmarkEnd w:id="35"/>
      <w:r>
        <w:rPr>
          <w:rFonts w:ascii="Times New Roman" w:hAnsi="Times New Roman" w:eastAsia="宋体"/>
          <w:b w:val="0"/>
          <w:color w:val="000000"/>
          <w:sz w:val="24"/>
        </w:rPr>
        <w:t>开老师的悉心引导。老师帮我厘清思路、打磨创新点，在我迷茫时指引方向，在我松懈时给予鞭策。论文的每一次修改，都凝聚着老师的心血与智慧。师恩深重，学生铭记于心。</w:t>
      </w:r>
    </w:p>
    <w:p w14:paraId="00856A83">
      <w:pPr>
        <w:spacing w:line="440" w:lineRule="exact"/>
        <w:ind w:firstLine="482"/>
        <w:jc w:val="both"/>
      </w:pPr>
      <w:r>
        <w:rPr>
          <w:rFonts w:ascii="Times New Roman" w:hAnsi="Times New Roman" w:eastAsia="宋体"/>
          <w:b w:val="0"/>
          <w:color w:val="000000"/>
          <w:sz w:val="24"/>
        </w:rPr>
        <w:t>其次，我要感谢我的家人。求学的路上，你们从未问过我何时能出人头地，只是默默地在背后托举着我、等待着我。每一通报平安的电话，每一顿回家时热腾腾的饭菜，都是我在深夜对着屏幕继续敲下去的力量。你们是我最坚实的后盾，也是我最温暖的归处。</w:t>
      </w:r>
    </w:p>
    <w:p w14:paraId="36848CA4">
      <w:pPr>
        <w:spacing w:line="440" w:lineRule="exact"/>
        <w:ind w:firstLine="482"/>
        <w:jc w:val="both"/>
      </w:pPr>
      <w:r>
        <w:rPr>
          <w:rFonts w:ascii="Times New Roman" w:hAnsi="Times New Roman" w:eastAsia="宋体"/>
          <w:b w:val="0"/>
          <w:color w:val="000000"/>
          <w:sz w:val="24"/>
        </w:rPr>
        <w:t>最后，我想感谢自己。感谢当初那个在人生岔路口毅然选择转专业的自己——那一份不顾前路未知、只凭热爱而做出的选择，如今已长成了这篇论文，也长成了一个更完整的我。感谢这一路走来不曾放弃的自己，感谢每一个咬牙坚持下去的清晨与深夜。</w:t>
      </w:r>
    </w:p>
    <w:p w14:paraId="0A9F0348">
      <w:pPr>
        <w:spacing w:line="440" w:lineRule="exact"/>
        <w:ind w:firstLine="482"/>
        <w:jc w:val="both"/>
      </w:pPr>
      <w:r>
        <w:rPr>
          <w:rFonts w:ascii="Times New Roman" w:hAnsi="Times New Roman" w:eastAsia="宋体"/>
          <w:b w:val="0"/>
          <w:color w:val="000000"/>
          <w:sz w:val="24"/>
        </w:rPr>
        <w:t>我的求学生活即将结束，但我知道，我人生真正的春天，才刚刚开始。</w:t>
      </w:r>
    </w:p>
    <w:sectPr>
      <w:pgSz w:w="11906" w:h="16838"/>
      <w:pgMar w:top="1701" w:right="1417" w:bottom="1417" w:left="1701"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苏令涛" w:date="2026-05-07T09:24:29Z" w:initials="">
    <w:p w14:paraId="38452186">
      <w:pPr>
        <w:pStyle w:val="17"/>
        <w:rPr>
          <w:rFonts w:hint="default" w:eastAsia="宋体"/>
          <w:lang w:val="en-US" w:eastAsia="zh-CN"/>
        </w:rPr>
      </w:pPr>
      <w:r>
        <w:rPr>
          <w:rFonts w:hint="eastAsia"/>
          <w:lang w:val="en-US" w:eastAsia="zh-CN"/>
        </w:rPr>
        <w:t>这个作为你结果评估是可以的，我总感觉你把这种消融实验做完主要研究工作显得太单薄了些。最好是能有对KnowDDI这个方法的改进，比如添加一点功能模块，或者别的修改地方，这样就变成了你自己的方法，在加上你这一章的消融实验和别的对比分析，这些作为结果。这样的话既有方法改进，又有分析结果，就比较完整了。建议尽快修改整片论文。</w:t>
      </w:r>
    </w:p>
  </w:comment>
  <w:comment w:id="1" w:author="苏令涛" w:date="2026-05-07T09:29:44Z" w:initials="">
    <w:p w14:paraId="4DC68865">
      <w:pPr>
        <w:pStyle w:val="17"/>
        <w:rPr>
          <w:rFonts w:hint="default" w:eastAsia="宋体"/>
          <w:lang w:val="en-US" w:eastAsia="zh-CN"/>
        </w:rPr>
      </w:pPr>
      <w:r>
        <w:rPr>
          <w:rFonts w:hint="eastAsia"/>
          <w:lang w:val="en-US" w:eastAsia="zh-CN"/>
        </w:rPr>
        <w:t>这里的针对KnowDDI的轻量化设计是你自己的想法吗？还是论文里已有的？如果是你的那么你可以把这部分算作一个创新点，算是对KnowDDI的改进的一方面。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452186" w15:done="0"/>
  <w15:commentEx w15:paraId="4DC6886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rial">
    <w:panose1 w:val="020B06040202020902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Cambria">
    <w:altName w:val="苹方-简"/>
    <w:panose1 w:val="02040503050406030204"/>
    <w:charset w:val="86"/>
    <w:family w:val="auto"/>
    <w:pitch w:val="default"/>
    <w:sig w:usb0="00000000" w:usb1="00000000" w:usb2="02000000" w:usb3="00000000" w:csb0="2000019F" w:csb1="00000000"/>
  </w:font>
  <w:font w:name="Tiro Bangla">
    <w:panose1 w:val="02000000000000000000"/>
    <w:charset w:val="00"/>
    <w:family w:val="auto"/>
    <w:pitch w:val="default"/>
    <w:sig w:usb0="00018003" w:usb1="00000000" w:usb2="00000000" w:usb3="00000000" w:csb0="00000001" w:csb1="00000000"/>
  </w:font>
  <w:font w:name="Heiti SC Medium">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12513">
    <w:pPr>
      <w:pStyle w:val="26"/>
      <w:tabs>
        <w:tab w:val="center" w:pos="4153"/>
        <w:tab w:val="right" w:pos="8306"/>
        <w:tab w:val="clear" w:pos="4680"/>
        <w:tab w:val="clear" w:pos="9360"/>
      </w:tabs>
      <w:jc w:val="left"/>
    </w:pPr>
    <w:r>
      <w:rPr>
        <w:rFonts w:hint="eastAsia"/>
      </w:rPr>
      <w:t xml:space="preserve">山东科技大学毕业设计（论文）                                     </w:t>
    </w:r>
    <w:r>
      <w:rPr>
        <w:rFonts w:hint="eastAsia"/>
        <w:lang w:val="en-US" w:eastAsia="zh-CN"/>
      </w:rPr>
      <w:t>图结构学习机制的消融解藕研究</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苏令涛">
    <w15:presenceInfo w15:providerId="WPS Office" w15:userId="40082178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F7D475B"/>
    <w:rsid w:val="FE6BAF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8"/>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6"/>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7"/>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paragraph" w:customStyle="1" w:styleId="136">
    <w:name w:val="论文正文"/>
    <w:basedOn w:val="1"/>
    <w:autoRedefine/>
    <w:qFormat/>
    <w:uiPriority w:val="0"/>
    <w:pPr>
      <w:adjustRightInd w:val="0"/>
      <w:snapToGrid w:val="0"/>
      <w:spacing w:line="400" w:lineRule="exact"/>
      <w:ind w:firstLine="480" w:firstLineChars="200"/>
      <w:outlineLvl w:val="1"/>
    </w:pPr>
    <w:rPr>
      <w:rFonts w:ascii="Times New Roman" w:hAnsi="Times New Roman" w:eastAsia="宋体" w:cs="Times New Roman"/>
      <w:bCs/>
      <w:sz w:val="24"/>
      <w:szCs w:val="24"/>
    </w:rPr>
  </w:style>
  <w:style w:type="character" w:customStyle="1" w:styleId="137">
    <w:name w:val="Header Char"/>
    <w:basedOn w:val="133"/>
    <w:link w:val="26"/>
    <w:uiPriority w:val="99"/>
  </w:style>
  <w:style w:type="character" w:customStyle="1" w:styleId="138">
    <w:name w:val="Footer Char"/>
    <w:basedOn w:val="133"/>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20"/>
    <w:uiPriority w:val="99"/>
  </w:style>
  <w:style w:type="character" w:customStyle="1" w:styleId="147">
    <w:name w:val="Body Text 2 Char"/>
    <w:basedOn w:val="133"/>
    <w:link w:val="29"/>
    <w:uiPriority w:val="99"/>
  </w:style>
  <w:style w:type="character" w:customStyle="1" w:styleId="148">
    <w:name w:val="Body Text 3 Char"/>
    <w:basedOn w:val="133"/>
    <w:link w:val="18"/>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一级"/>
    <w:basedOn w:val="1"/>
    <w:qFormat/>
    <w:uiPriority w:val="0"/>
    <w:pPr>
      <w:spacing w:before="50" w:beforeLines="50" w:after="50" w:afterLines="50" w:line="400" w:lineRule="exact"/>
      <w:ind w:left="3227"/>
      <w:outlineLvl w:val="0"/>
    </w:pPr>
    <w:rPr>
      <w:rFonts w:hint="eastAsia" w:ascii="Times New Roman" w:hAnsi="Times New Roman" w:eastAsia="黑体" w:cs="黑体"/>
      <w:sz w:val="32"/>
      <w:szCs w:val="32"/>
    </w:rPr>
  </w:style>
  <w:style w:type="paragraph" w:customStyle="1" w:styleId="167">
    <w:name w:val="二级"/>
    <w:basedOn w:val="1"/>
    <w:qFormat/>
    <w:uiPriority w:val="0"/>
    <w:pPr>
      <w:spacing w:before="50" w:beforeLines="50" w:after="50" w:afterLines="50" w:line="400" w:lineRule="exact"/>
      <w:outlineLvl w:val="1"/>
    </w:pPr>
    <w:rPr>
      <w:rFonts w:hint="eastAsia" w:ascii="Tiro Bangla" w:hAnsi="Tiro Bangla" w:eastAsia="黑体"/>
      <w:bCs/>
      <w:sz w:val="28"/>
      <w:szCs w:val="28"/>
    </w:rPr>
  </w:style>
  <w:style w:type="paragraph" w:customStyle="1" w:styleId="168">
    <w:name w:val="三级"/>
    <w:basedOn w:val="1"/>
    <w:qFormat/>
    <w:uiPriority w:val="0"/>
    <w:pPr>
      <w:spacing w:before="120" w:after="120"/>
      <w:outlineLvl w:val="2"/>
    </w:pPr>
    <w:rPr>
      <w:rFonts w:hint="eastAsia" w:ascii="Times New Roman" w:hAnsi="Times New Roman" w:eastAsia="黑体" w:cs="Heiti SC Medium"/>
      <w:bCs/>
      <w:sz w:val="24"/>
      <w:szCs w:val="24"/>
    </w:rPr>
  </w:style>
  <w:style w:type="paragraph" w:customStyle="1" w:styleId="169">
    <w:name w:val="表"/>
    <w:basedOn w:val="1"/>
    <w:qFormat/>
    <w:uiPriority w:val="0"/>
    <w:pPr>
      <w:jc w:val="center"/>
    </w:pPr>
    <w:rPr>
      <w:rFonts w:ascii="Times New Roman" w:hAnsi="Times New Roman" w:eastAsia="宋体"/>
    </w:rPr>
  </w:style>
  <w:style w:type="paragraph" w:customStyle="1" w:styleId="170">
    <w:name w:val="正文样式"/>
    <w:basedOn w:val="1"/>
    <w:qFormat/>
    <w:uiPriority w:val="0"/>
    <w:pPr>
      <w:adjustRightInd w:val="0"/>
      <w:snapToGrid w:val="0"/>
      <w:spacing w:line="400" w:lineRule="exact"/>
      <w:ind w:firstLine="480" w:firstLineChars="200"/>
      <w:outlineLvl w:val="9"/>
    </w:pPr>
    <w:rPr>
      <w:rFonts w:hint="eastAsia" w:ascii="Times New Roman" w:hAnsi="Times New Roman" w:eastAsia="宋体"/>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6</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清奇</cp:lastModifiedBy>
  <dcterms:modified xsi:type="dcterms:W3CDTF">2026-05-08T00:03:55Z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FCA0FCF9560882E0F2B6FC69B39D4C78_42</vt:lpwstr>
  </property>
</Properties>
</file>