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</w:rPr>
      </w:pPr>
      <w:r>
        <w:rPr>
          <w:rFonts w:hint="eastAsia" w:ascii="Helvetica Neue" w:hAnsi="Helvetica Neue" w:eastAsia="宋体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  <w:lang w:val="en-US" w:eastAsia="zh-CN"/>
        </w:rPr>
        <w:t xml:space="preserve">           </w:t>
      </w:r>
      <w:r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</w:rPr>
        <w:t>《觉者是无上实相师》</w:t>
      </w:r>
    </w:p>
    <w:p>
      <w:pP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</w:pPr>
      <w:r>
        <w:rPr>
          <w:rFonts w:hint="eastAsia" w:ascii="Helvetica Neue" w:hAnsi="Helvetica Neue" w:eastAsia="宋体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  <w:lang w:val="en-US" w:eastAsia="zh-CN"/>
        </w:rPr>
        <w:t xml:space="preserve">    </w:t>
      </w:r>
      <w:r>
        <w:rPr>
          <w:rFonts w:ascii="punctuation" w:hAnsi="punctuation" w:eastAsia="punctuation" w:cs="punctuation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bdr w:val="none" w:color="auto" w:sz="0" w:space="0"/>
          <w:shd w:val="clear" w:fill="FFFFFF"/>
        </w:rPr>
        <w:t>标签：笫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二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bdr w:val="none" w:color="auto" w:sz="0" w:space="0"/>
          <w:shd w:val="clear" w:fill="FFFFFF"/>
        </w:rPr>
        <w:t>空性法        2016-04-10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    </w:t>
      </w: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  <w:t>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参究: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依果，请问，上师相应，有圆满法藏课程世界次第的加持，也有第二空性的加持吧？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除了创世之法，都有上师相应法加持。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参究: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嗯，创世之法，已在觉者，所以已经超越上师次第吗？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觉者是众生师，众神师，无上实相师。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参究: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天人师次第好像开启的第二空性教法不多吧？或者还没有开启第二空性教法？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天人是属于众生的范畴。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天人界的实相道场，就如现在的这里一样，开启更多的是第一空性法藏。即佛教的小乘法门次第。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参究: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上师含盖天人师，天人师可以以第一空性法超越所有天界以内灵修教导。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天人的普遍实修目标，一般就是成为永生之神在。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人道的普遍实修目标，一般就是福报巨大的天人。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···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参究: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但是，天人师也可以灵活的通达上师，所以，华严宗、密宗等等也对许多根基相应者开启第一空性法以上的法门，是吗？请果师指点。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无论哪里，道场启动实修第二空性法门的对象，都是实证第一空性本觉的“再来者”以上的存在。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圆满法藏阶段，就不存在，这个戒律了。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人天频率以上者，都可以进入圆满法藏阶段的实修。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参究: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我那天看了果师与颂福音的对话，那颂福音还不知道基督是课程程序相应，而他将基督拟人化，还没有证人无我、法无我，那么，他的灵修次第还没有证到第一空性法吗？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【他的灵修次第还没有证到第一空性法吗？】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当然，修天人果的人。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人类宗教的初始都是神性频率教法，后来都被修改为“天人果”教法了。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灵修者，都是修天人福报果的存在，而且，很多修的只是垫底天人频率的，好战的阿修罗教法。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一时: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阿修罗教法是什么？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属于世间法界的一层空间。自己百度，阿修罗。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参究: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那些人就算到了天国，也是好战的民族啊。（正）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是种族吧，不能叫民族了，好吧？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参究: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请问果师，我听过阿修罗与帝释天之战，而天界也还存在其他许多政权争斗吗？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因阿修罗，福报不够，嫉恨帝释天人，屡屡战败，人间主要受此灵力战乱习气影响。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Helvetica Neue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7D3DF1"/>
    <w:rsid w:val="3A7D3DF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2016-04-15T01:51:00Z</dcterms:created>
  <dc:creator>Administrator</dc:creator>
  <cp:lastModifiedBy>Administrator</cp:lastModifiedBy>
  <dcterms:modified xsi:type="dcterms:W3CDTF">2016-04-15T01:55:14Z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