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4CFFA" w14:textId="77777777" w:rsidR="00A97A1C" w:rsidRDefault="00000000">
      <w:pPr>
        <w:spacing w:after="240"/>
        <w:jc w:val="center"/>
      </w:pPr>
      <w:r>
        <w:rPr>
          <w:rFonts w:eastAsia="Times New Roman"/>
          <w:b/>
          <w:bCs/>
          <w:sz w:val="28"/>
          <w:szCs w:val="28"/>
        </w:rPr>
        <w:t>MEMORANDUM</w:t>
      </w:r>
    </w:p>
    <w:p w14:paraId="5CE092CD" w14:textId="77777777" w:rsidR="00A97A1C" w:rsidRDefault="00000000">
      <w:pPr>
        <w:pStyle w:val="Heading1"/>
      </w:pPr>
      <w:r>
        <w:t>1. Purpose</w:t>
      </w:r>
    </w:p>
    <w:p w14:paraId="2E6CA155" w14:textId="24EB6E35" w:rsidR="00A97A1C" w:rsidRDefault="00000000">
      <w:pPr>
        <w:spacing w:after="160"/>
        <w:jc w:val="both"/>
        <w:rPr>
          <w:rFonts w:eastAsia="Times New Roman"/>
        </w:rPr>
      </w:pPr>
      <w:r>
        <w:rPr>
          <w:rFonts w:eastAsia="Times New Roman"/>
        </w:rPr>
        <w:t xml:space="preserve">This memorandum summarizes the methodology, data sources, and evaluation results of a study assessing the quality of </w:t>
      </w:r>
      <w:r w:rsidR="0075137A">
        <w:rPr>
          <w:rFonts w:eastAsia="Times New Roman" w:hint="eastAsia"/>
        </w:rPr>
        <w:t>Statt</w:t>
      </w:r>
      <w:r>
        <w:rPr>
          <w:rFonts w:eastAsia="Times New Roman"/>
        </w:rPr>
        <w:t>-generated public regulatory comments. The primary analysis (Round 1) compares Statt-generated comments against a reference set of human-authored submissions and comments generated via Google Gemini. A subsequent extension (Round 2) validates findings against a larger self-collected human corpus. Findings are intended to inform discussion on the capabilities and limitations of AI tools in the public comment process.</w:t>
      </w:r>
    </w:p>
    <w:p w14:paraId="2DB50BF6" w14:textId="77777777" w:rsidR="00191849" w:rsidRDefault="00191849">
      <w:pPr>
        <w:spacing w:after="160"/>
        <w:jc w:val="both"/>
        <w:rPr>
          <w:rFonts w:hint="eastAsia"/>
        </w:rPr>
      </w:pPr>
    </w:p>
    <w:p w14:paraId="27FC79BC" w14:textId="77777777" w:rsidR="00A97A1C" w:rsidRDefault="00000000">
      <w:pPr>
        <w:pStyle w:val="Heading1"/>
      </w:pPr>
      <w:r>
        <w:t>2. Methodology</w:t>
      </w:r>
    </w:p>
    <w:p w14:paraId="1BD6EDCD" w14:textId="77777777" w:rsidR="00A97A1C" w:rsidRDefault="00000000">
      <w:pPr>
        <w:pStyle w:val="Heading2"/>
      </w:pPr>
      <w:proofErr w:type="gramStart"/>
      <w:r>
        <w:t>2.1  Evaluation</w:t>
      </w:r>
      <w:proofErr w:type="gramEnd"/>
      <w:r>
        <w:t xml:space="preserve"> Pipeline</w:t>
      </w:r>
    </w:p>
    <w:p w14:paraId="1F6D9669" w14:textId="77777777" w:rsidR="00A97A1C" w:rsidRDefault="00000000">
      <w:pPr>
        <w:spacing w:after="160"/>
        <w:jc w:val="both"/>
      </w:pPr>
      <w:r>
        <w:rPr>
          <w:rFonts w:eastAsia="Times New Roman"/>
        </w:rPr>
        <w:t>An automated evaluation pipeline was developed in Python using the OpenAI API. Each comment was scored independently by the model on six criteria, each rated on a 1–5 scale (1 = poor, 5 = excellent), with a short rationale per criterion and a composite overall score. The six evaluation criteria are:</w:t>
      </w:r>
    </w:p>
    <w:p w14:paraId="4A2FF1D1" w14:textId="77777777" w:rsidR="00A97A1C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eastAsia="Times New Roman"/>
        </w:rPr>
        <w:t>Relevance — how directly the comment addresses the docket topic</w:t>
      </w:r>
    </w:p>
    <w:p w14:paraId="2C5CB731" w14:textId="77777777" w:rsidR="00A97A1C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eastAsia="Times New Roman"/>
        </w:rPr>
        <w:t>Reasoning — logical coherence and clarity of arguments</w:t>
      </w:r>
    </w:p>
    <w:p w14:paraId="7BECAB96" w14:textId="77777777" w:rsidR="00A97A1C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eastAsia="Times New Roman"/>
        </w:rPr>
        <w:t>Evidence — use of facts, data, citations, or concrete examples</w:t>
      </w:r>
    </w:p>
    <w:p w14:paraId="417FA310" w14:textId="77777777" w:rsidR="00A97A1C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eastAsia="Times New Roman"/>
        </w:rPr>
        <w:t>Impact — specificity and plausibility of claimed impacts</w:t>
      </w:r>
    </w:p>
    <w:p w14:paraId="589F632B" w14:textId="77777777" w:rsidR="00A97A1C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eastAsia="Times New Roman"/>
        </w:rPr>
        <w:t>Actionability — clarity and feasibility of recommendations</w:t>
      </w:r>
    </w:p>
    <w:p w14:paraId="6FB7756C" w14:textId="4F764F34" w:rsidR="00A97A1C" w:rsidRDefault="00000000" w:rsidP="0075137A">
      <w:pPr>
        <w:pStyle w:val="ListParagraph"/>
        <w:numPr>
          <w:ilvl w:val="0"/>
          <w:numId w:val="2"/>
        </w:numPr>
        <w:spacing w:after="100"/>
      </w:pPr>
      <w:r>
        <w:rPr>
          <w:rFonts w:eastAsia="Times New Roman"/>
        </w:rPr>
        <w:t>Structure/Formatting — organization, readability, and professional presentation</w:t>
      </w:r>
    </w:p>
    <w:p w14:paraId="6C209037" w14:textId="77777777" w:rsidR="00A97A1C" w:rsidRDefault="00000000">
      <w:pPr>
        <w:pStyle w:val="Heading2"/>
      </w:pPr>
      <w:proofErr w:type="gramStart"/>
      <w:r>
        <w:t>2.2  Scoring</w:t>
      </w:r>
      <w:proofErr w:type="gramEnd"/>
      <w:r>
        <w:t xml:space="preserve"> and Validation</w:t>
      </w:r>
    </w:p>
    <w:p w14:paraId="3849820C" w14:textId="77777777" w:rsidR="00A97A1C" w:rsidRDefault="00000000">
      <w:pPr>
        <w:spacing w:after="160"/>
        <w:jc w:val="both"/>
      </w:pPr>
      <w:r>
        <w:rPr>
          <w:rFonts w:eastAsia="Times New Roman"/>
        </w:rPr>
        <w:t>Model responses were constrained to a strict JSON schema and validated programmatically. Results were written to JSONL and CSV files for downstream analysis. Score distributions, criterion-level means, and cross-source comparisons were computed in a separate analysis notebook, with visualizations stratified by source label and agency.</w:t>
      </w:r>
    </w:p>
    <w:p w14:paraId="1EC69E9A" w14:textId="77777777" w:rsidR="00191849" w:rsidRDefault="00191849">
      <w:pPr>
        <w:pStyle w:val="Heading1"/>
      </w:pPr>
    </w:p>
    <w:p w14:paraId="770EC7C5" w14:textId="1598B78F" w:rsidR="00A97A1C" w:rsidRDefault="00000000">
      <w:pPr>
        <w:pStyle w:val="Heading1"/>
      </w:pPr>
      <w:r>
        <w:t>3. Data Sources</w:t>
      </w:r>
    </w:p>
    <w:p w14:paraId="0D12C05D" w14:textId="77777777" w:rsidR="00A97A1C" w:rsidRDefault="00000000">
      <w:pPr>
        <w:pStyle w:val="Heading2"/>
      </w:pPr>
      <w:proofErr w:type="gramStart"/>
      <w:r>
        <w:t>3.1  Round</w:t>
      </w:r>
      <w:proofErr w:type="gramEnd"/>
      <w:r>
        <w:t xml:space="preserve"> 1 Corpus (Primary Analysis)</w:t>
      </w:r>
    </w:p>
    <w:p w14:paraId="236A6390" w14:textId="77777777" w:rsidR="00A97A1C" w:rsidRDefault="00000000">
      <w:pPr>
        <w:spacing w:after="160"/>
        <w:jc w:val="both"/>
      </w:pPr>
      <w:r>
        <w:rPr>
          <w:rFonts w:eastAsia="Times New Roman"/>
        </w:rPr>
        <w:t>The primary corpus consists of three source groups covering EPA, FDA, and FMCSA topic areas:</w:t>
      </w:r>
    </w:p>
    <w:p w14:paraId="437A527F" w14:textId="77777777" w:rsidR="00A97A1C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eastAsia="Times New Roman"/>
        </w:rPr>
        <w:lastRenderedPageBreak/>
        <w:t>Human comments (~298): A reference set of real-world public comments supplied by Statt, drawn from Regulations.gov.</w:t>
      </w:r>
    </w:p>
    <w:p w14:paraId="46BB9B0B" w14:textId="77777777" w:rsidR="00A97A1C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eastAsia="Times New Roman"/>
        </w:rPr>
        <w:t>Statt-generated comments (317): Generated using the Statt platform by a research team member, selecting the relevant agency, a stakeholder persona, and a policy stance (~108 comments per agency).</w:t>
      </w:r>
    </w:p>
    <w:p w14:paraId="4482AAE0" w14:textId="01F344ED" w:rsidR="00A97A1C" w:rsidRDefault="00000000" w:rsidP="0075137A">
      <w:pPr>
        <w:pStyle w:val="ListParagraph"/>
        <w:numPr>
          <w:ilvl w:val="0"/>
          <w:numId w:val="2"/>
        </w:numPr>
        <w:spacing w:after="100"/>
      </w:pPr>
      <w:r>
        <w:rPr>
          <w:rFonts w:eastAsia="Times New Roman"/>
        </w:rPr>
        <w:t>Gemini-generated comments (316): Generated via Google Gemini under equivalent prompting conditions (~102–108 comments per agency).</w:t>
      </w:r>
    </w:p>
    <w:p w14:paraId="63E219A8" w14:textId="77777777" w:rsidR="00A97A1C" w:rsidRDefault="00000000">
      <w:pPr>
        <w:pStyle w:val="Heading2"/>
      </w:pPr>
      <w:proofErr w:type="gramStart"/>
      <w:r>
        <w:t>3.2  Round</w:t>
      </w:r>
      <w:proofErr w:type="gramEnd"/>
      <w:r>
        <w:t xml:space="preserve"> 2 Extension</w:t>
      </w:r>
    </w:p>
    <w:p w14:paraId="73FF2A67" w14:textId="536A7B4B" w:rsidR="00A97A1C" w:rsidRDefault="00000000">
      <w:pPr>
        <w:spacing w:after="160"/>
        <w:jc w:val="both"/>
        <w:rPr>
          <w:rFonts w:eastAsia="Times New Roman"/>
        </w:rPr>
      </w:pPr>
      <w:r>
        <w:rPr>
          <w:rFonts w:eastAsia="Times New Roman"/>
        </w:rPr>
        <w:t>To assess generalizability, the human corpus was extended with approximately 3,000 additional comments independently downloaded from Regulations.gov. Round 2 results are reported separately in Section 6.</w:t>
      </w:r>
    </w:p>
    <w:p w14:paraId="636364D6" w14:textId="77777777" w:rsidR="00191849" w:rsidRDefault="00191849">
      <w:pPr>
        <w:spacing w:after="160"/>
        <w:jc w:val="both"/>
        <w:rPr>
          <w:rFonts w:hint="eastAsia"/>
        </w:rPr>
      </w:pPr>
    </w:p>
    <w:p w14:paraId="1F0AB299" w14:textId="77777777" w:rsidR="00A97A1C" w:rsidRDefault="00000000">
      <w:pPr>
        <w:pStyle w:val="Heading1"/>
      </w:pPr>
      <w:r>
        <w:t>4. Evaluation Results — Round 1</w:t>
      </w:r>
    </w:p>
    <w:p w14:paraId="787250C0" w14:textId="77777777" w:rsidR="00A97A1C" w:rsidRDefault="00000000">
      <w:pPr>
        <w:pStyle w:val="Heading2"/>
      </w:pPr>
      <w:proofErr w:type="gramStart"/>
      <w:r>
        <w:t>4.1  Overall</w:t>
      </w:r>
      <w:proofErr w:type="gramEnd"/>
      <w:r>
        <w:t xml:space="preserve"> Score Comparison</w:t>
      </w:r>
    </w:p>
    <w:p w14:paraId="5113FE57" w14:textId="47B3A966" w:rsidR="00A97A1C" w:rsidRPr="00166A53" w:rsidRDefault="00000000" w:rsidP="00166A53">
      <w:pPr>
        <w:spacing w:after="160"/>
        <w:jc w:val="both"/>
        <w:rPr>
          <w:rFonts w:hint="eastAsia"/>
        </w:rPr>
      </w:pPr>
      <w:r>
        <w:rPr>
          <w:rFonts w:eastAsia="Times New Roman"/>
        </w:rPr>
        <w:t>Table 1 presents mean scores across all six criteria by source. Statt-generated comments score highest on every criterion. Human comments outperform Gemini on five of six criteria, with Gemini scoring marginally higher only on Relevance.</w:t>
      </w:r>
    </w:p>
    <w:p w14:paraId="07113A4F" w14:textId="77777777" w:rsidR="00A97A1C" w:rsidRDefault="00000000">
      <w:pPr>
        <w:spacing w:after="100"/>
      </w:pPr>
      <w:r>
        <w:rPr>
          <w:rFonts w:eastAsia="Times New Roman"/>
          <w:b/>
          <w:bCs/>
          <w:sz w:val="20"/>
          <w:szCs w:val="20"/>
        </w:rPr>
        <w:t>Table 1. Mean evaluation scores by source — Round 1 corpus (scale 1–5)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880"/>
        <w:gridCol w:w="1880"/>
        <w:gridCol w:w="1880"/>
      </w:tblGrid>
      <w:tr w:rsidR="00A97A1C" w14:paraId="420BD97E" w14:textId="77777777">
        <w:trPr>
          <w:tblHeader/>
        </w:trPr>
        <w:tc>
          <w:tcPr>
            <w:tcW w:w="300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68EFD" w14:textId="77777777" w:rsidR="00A97A1C" w:rsidRDefault="00000000">
            <w:r>
              <w:rPr>
                <w:rFonts w:eastAsia="Times New Roman"/>
                <w:b/>
                <w:bCs/>
                <w:sz w:val="20"/>
                <w:szCs w:val="20"/>
              </w:rPr>
              <w:t>Criterion</w:t>
            </w:r>
          </w:p>
        </w:tc>
        <w:tc>
          <w:tcPr>
            <w:tcW w:w="188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852C8" w14:textId="77777777" w:rsidR="00A97A1C" w:rsidRDefault="00000000">
            <w:pPr>
              <w:jc w:val="center"/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Human</w:t>
            </w:r>
          </w:p>
        </w:tc>
        <w:tc>
          <w:tcPr>
            <w:tcW w:w="188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C9873" w14:textId="77777777" w:rsidR="00A97A1C" w:rsidRDefault="00000000">
            <w:pPr>
              <w:jc w:val="center"/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Statt (AI)</w:t>
            </w:r>
          </w:p>
        </w:tc>
        <w:tc>
          <w:tcPr>
            <w:tcW w:w="188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14CCB" w14:textId="77777777" w:rsidR="00A97A1C" w:rsidRDefault="00000000">
            <w:pPr>
              <w:jc w:val="center"/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Gemini (AI)</w:t>
            </w:r>
          </w:p>
        </w:tc>
      </w:tr>
      <w:tr w:rsidR="00A97A1C" w14:paraId="1AD5BB0E" w14:textId="77777777">
        <w:tc>
          <w:tcPr>
            <w:tcW w:w="300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39721" w14:textId="77777777" w:rsidR="00A97A1C" w:rsidRDefault="00000000">
            <w:r>
              <w:rPr>
                <w:rFonts w:eastAsia="Times New Roman"/>
                <w:sz w:val="20"/>
                <w:szCs w:val="20"/>
              </w:rPr>
              <w:t>Relevance</w:t>
            </w:r>
          </w:p>
        </w:tc>
        <w:tc>
          <w:tcPr>
            <w:tcW w:w="188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9BD75" w14:textId="77777777" w:rsidR="00A97A1C" w:rsidRDefault="00000000">
            <w:pPr>
              <w:jc w:val="center"/>
            </w:pPr>
            <w:r>
              <w:rPr>
                <w:rFonts w:eastAsia="Times New Roman"/>
                <w:sz w:val="20"/>
                <w:szCs w:val="20"/>
              </w:rPr>
              <w:t>4.13</w:t>
            </w:r>
          </w:p>
        </w:tc>
        <w:tc>
          <w:tcPr>
            <w:tcW w:w="188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5FDA1" w14:textId="77777777" w:rsidR="00A97A1C" w:rsidRDefault="00000000">
            <w:pPr>
              <w:jc w:val="center"/>
            </w:pPr>
            <w:r>
              <w:rPr>
                <w:rFonts w:eastAsia="Times New Roman"/>
                <w:sz w:val="20"/>
                <w:szCs w:val="20"/>
              </w:rPr>
              <w:t>4.54</w:t>
            </w:r>
          </w:p>
        </w:tc>
        <w:tc>
          <w:tcPr>
            <w:tcW w:w="188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FF84F" w14:textId="77777777" w:rsidR="00A97A1C" w:rsidRDefault="00000000">
            <w:pPr>
              <w:jc w:val="center"/>
            </w:pPr>
            <w:r>
              <w:rPr>
                <w:rFonts w:eastAsia="Times New Roman"/>
                <w:sz w:val="20"/>
                <w:szCs w:val="20"/>
              </w:rPr>
              <w:t>3.55</w:t>
            </w:r>
          </w:p>
        </w:tc>
      </w:tr>
      <w:tr w:rsidR="00A97A1C" w14:paraId="2470E99B" w14:textId="77777777">
        <w:tc>
          <w:tcPr>
            <w:tcW w:w="300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5BF16" w14:textId="77777777" w:rsidR="00A97A1C" w:rsidRDefault="00000000">
            <w:r>
              <w:rPr>
                <w:rFonts w:eastAsia="Times New Roman"/>
                <w:sz w:val="20"/>
                <w:szCs w:val="20"/>
              </w:rPr>
              <w:t>Reasoning</w:t>
            </w:r>
          </w:p>
        </w:tc>
        <w:tc>
          <w:tcPr>
            <w:tcW w:w="188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06EE9" w14:textId="77777777" w:rsidR="00A97A1C" w:rsidRDefault="00000000">
            <w:pPr>
              <w:jc w:val="center"/>
            </w:pPr>
            <w:r>
              <w:rPr>
                <w:rFonts w:eastAsia="Times New Roman"/>
                <w:sz w:val="20"/>
                <w:szCs w:val="20"/>
              </w:rPr>
              <w:t>3.46</w:t>
            </w:r>
          </w:p>
        </w:tc>
        <w:tc>
          <w:tcPr>
            <w:tcW w:w="188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B91CC" w14:textId="77777777" w:rsidR="00A97A1C" w:rsidRDefault="00000000">
            <w:pPr>
              <w:jc w:val="center"/>
            </w:pPr>
            <w:r>
              <w:rPr>
                <w:rFonts w:eastAsia="Times New Roman"/>
                <w:sz w:val="20"/>
                <w:szCs w:val="20"/>
              </w:rPr>
              <w:t>3.99</w:t>
            </w:r>
          </w:p>
        </w:tc>
        <w:tc>
          <w:tcPr>
            <w:tcW w:w="188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51EF2" w14:textId="77777777" w:rsidR="00A97A1C" w:rsidRDefault="00000000">
            <w:pPr>
              <w:jc w:val="center"/>
            </w:pPr>
            <w:r>
              <w:rPr>
                <w:rFonts w:eastAsia="Times New Roman"/>
                <w:sz w:val="20"/>
                <w:szCs w:val="20"/>
              </w:rPr>
              <w:t>2.40</w:t>
            </w:r>
          </w:p>
        </w:tc>
      </w:tr>
      <w:tr w:rsidR="00A97A1C" w14:paraId="7382F454" w14:textId="77777777">
        <w:tc>
          <w:tcPr>
            <w:tcW w:w="300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EA1EC" w14:textId="77777777" w:rsidR="00A97A1C" w:rsidRDefault="00000000">
            <w:r>
              <w:rPr>
                <w:rFonts w:eastAsia="Times New Roman"/>
                <w:sz w:val="20"/>
                <w:szCs w:val="20"/>
              </w:rPr>
              <w:t>Evidence</w:t>
            </w:r>
          </w:p>
        </w:tc>
        <w:tc>
          <w:tcPr>
            <w:tcW w:w="188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6A092" w14:textId="77777777" w:rsidR="00A97A1C" w:rsidRDefault="00000000">
            <w:pPr>
              <w:jc w:val="center"/>
            </w:pPr>
            <w:r>
              <w:rPr>
                <w:rFonts w:eastAsia="Times New Roman"/>
                <w:sz w:val="20"/>
                <w:szCs w:val="20"/>
              </w:rPr>
              <w:t>2.12</w:t>
            </w:r>
          </w:p>
        </w:tc>
        <w:tc>
          <w:tcPr>
            <w:tcW w:w="188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ABF9A" w14:textId="77777777" w:rsidR="00A97A1C" w:rsidRDefault="00000000">
            <w:pPr>
              <w:jc w:val="center"/>
            </w:pPr>
            <w:r>
              <w:rPr>
                <w:rFonts w:eastAsia="Times New Roman"/>
                <w:sz w:val="20"/>
                <w:szCs w:val="20"/>
              </w:rPr>
              <w:t>3.30</w:t>
            </w:r>
          </w:p>
        </w:tc>
        <w:tc>
          <w:tcPr>
            <w:tcW w:w="188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56A7C" w14:textId="77777777" w:rsidR="00A97A1C" w:rsidRDefault="00000000">
            <w:pPr>
              <w:jc w:val="center"/>
            </w:pPr>
            <w:r>
              <w:rPr>
                <w:rFonts w:eastAsia="Times New Roman"/>
                <w:sz w:val="20"/>
                <w:szCs w:val="20"/>
              </w:rPr>
              <w:t>1.30</w:t>
            </w:r>
          </w:p>
        </w:tc>
      </w:tr>
      <w:tr w:rsidR="00A97A1C" w14:paraId="59982926" w14:textId="77777777">
        <w:tc>
          <w:tcPr>
            <w:tcW w:w="300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44031" w14:textId="77777777" w:rsidR="00A97A1C" w:rsidRDefault="00000000">
            <w:r>
              <w:rPr>
                <w:rFonts w:eastAsia="Times New Roman"/>
                <w:sz w:val="20"/>
                <w:szCs w:val="20"/>
              </w:rPr>
              <w:t>Impact</w:t>
            </w:r>
          </w:p>
        </w:tc>
        <w:tc>
          <w:tcPr>
            <w:tcW w:w="188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F4D14" w14:textId="77777777" w:rsidR="00A97A1C" w:rsidRDefault="00000000">
            <w:pPr>
              <w:jc w:val="center"/>
            </w:pPr>
            <w:r>
              <w:rPr>
                <w:rFonts w:eastAsia="Times New Roman"/>
                <w:sz w:val="20"/>
                <w:szCs w:val="20"/>
              </w:rPr>
              <w:t>3.11</w:t>
            </w:r>
          </w:p>
        </w:tc>
        <w:tc>
          <w:tcPr>
            <w:tcW w:w="188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CB15D" w14:textId="77777777" w:rsidR="00A97A1C" w:rsidRDefault="00000000">
            <w:pPr>
              <w:jc w:val="center"/>
            </w:pPr>
            <w:r>
              <w:rPr>
                <w:rFonts w:eastAsia="Times New Roman"/>
                <w:sz w:val="20"/>
                <w:szCs w:val="20"/>
              </w:rPr>
              <w:t>3.97</w:t>
            </w:r>
          </w:p>
        </w:tc>
        <w:tc>
          <w:tcPr>
            <w:tcW w:w="188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D1700" w14:textId="77777777" w:rsidR="00A97A1C" w:rsidRDefault="00000000">
            <w:pPr>
              <w:jc w:val="center"/>
            </w:pPr>
            <w:r>
              <w:rPr>
                <w:rFonts w:eastAsia="Times New Roman"/>
                <w:sz w:val="20"/>
                <w:szCs w:val="20"/>
              </w:rPr>
              <w:t>2.29</w:t>
            </w:r>
          </w:p>
        </w:tc>
      </w:tr>
      <w:tr w:rsidR="00A97A1C" w14:paraId="78E3FEA4" w14:textId="77777777">
        <w:tc>
          <w:tcPr>
            <w:tcW w:w="300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F81F4" w14:textId="77777777" w:rsidR="00A97A1C" w:rsidRDefault="00000000">
            <w:r>
              <w:rPr>
                <w:rFonts w:eastAsia="Times New Roman"/>
                <w:sz w:val="20"/>
                <w:szCs w:val="20"/>
              </w:rPr>
              <w:t>Actionability</w:t>
            </w:r>
          </w:p>
        </w:tc>
        <w:tc>
          <w:tcPr>
            <w:tcW w:w="188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93DBC" w14:textId="77777777" w:rsidR="00A97A1C" w:rsidRDefault="00000000">
            <w:pPr>
              <w:jc w:val="center"/>
            </w:pPr>
            <w:r>
              <w:rPr>
                <w:rFonts w:eastAsia="Times New Roman"/>
                <w:sz w:val="20"/>
                <w:szCs w:val="20"/>
              </w:rPr>
              <w:t>3.35</w:t>
            </w:r>
          </w:p>
        </w:tc>
        <w:tc>
          <w:tcPr>
            <w:tcW w:w="188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25C2C" w14:textId="77777777" w:rsidR="00A97A1C" w:rsidRDefault="00000000">
            <w:pPr>
              <w:jc w:val="center"/>
            </w:pPr>
            <w:r>
              <w:rPr>
                <w:rFonts w:eastAsia="Times New Roman"/>
                <w:sz w:val="20"/>
                <w:szCs w:val="20"/>
              </w:rPr>
              <w:t>4.82</w:t>
            </w:r>
          </w:p>
        </w:tc>
        <w:tc>
          <w:tcPr>
            <w:tcW w:w="188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6B5AA" w14:textId="77777777" w:rsidR="00A97A1C" w:rsidRDefault="00000000">
            <w:pPr>
              <w:jc w:val="center"/>
            </w:pPr>
            <w:r>
              <w:rPr>
                <w:rFonts w:eastAsia="Times New Roman"/>
                <w:sz w:val="20"/>
                <w:szCs w:val="20"/>
              </w:rPr>
              <w:t>2.52</w:t>
            </w:r>
          </w:p>
        </w:tc>
      </w:tr>
      <w:tr w:rsidR="00A97A1C" w14:paraId="46E31F44" w14:textId="77777777">
        <w:tc>
          <w:tcPr>
            <w:tcW w:w="300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CC925" w14:textId="77777777" w:rsidR="00A97A1C" w:rsidRDefault="00000000">
            <w:r>
              <w:rPr>
                <w:rFonts w:eastAsia="Times New Roman"/>
                <w:sz w:val="20"/>
                <w:szCs w:val="20"/>
              </w:rPr>
              <w:t>Structure/Formatting</w:t>
            </w:r>
          </w:p>
        </w:tc>
        <w:tc>
          <w:tcPr>
            <w:tcW w:w="188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D7C1D" w14:textId="77777777" w:rsidR="00A97A1C" w:rsidRDefault="00000000">
            <w:pPr>
              <w:jc w:val="center"/>
            </w:pPr>
            <w:r>
              <w:rPr>
                <w:rFonts w:eastAsia="Times New Roman"/>
                <w:sz w:val="20"/>
                <w:szCs w:val="20"/>
              </w:rPr>
              <w:t>3.37</w:t>
            </w:r>
          </w:p>
        </w:tc>
        <w:tc>
          <w:tcPr>
            <w:tcW w:w="188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F3F0C" w14:textId="77777777" w:rsidR="00A97A1C" w:rsidRDefault="00000000">
            <w:pPr>
              <w:jc w:val="center"/>
            </w:pPr>
            <w:r>
              <w:rPr>
                <w:rFonts w:eastAsia="Times New Roman"/>
                <w:sz w:val="20"/>
                <w:szCs w:val="20"/>
              </w:rPr>
              <w:t>4.89</w:t>
            </w:r>
          </w:p>
        </w:tc>
        <w:tc>
          <w:tcPr>
            <w:tcW w:w="188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29963" w14:textId="77777777" w:rsidR="00A97A1C" w:rsidRDefault="00000000">
            <w:pPr>
              <w:jc w:val="center"/>
            </w:pPr>
            <w:r>
              <w:rPr>
                <w:rFonts w:eastAsia="Times New Roman"/>
                <w:sz w:val="20"/>
                <w:szCs w:val="20"/>
              </w:rPr>
              <w:t>3.07</w:t>
            </w:r>
          </w:p>
        </w:tc>
      </w:tr>
      <w:tr w:rsidR="00A97A1C" w14:paraId="462CFF97" w14:textId="77777777">
        <w:tc>
          <w:tcPr>
            <w:tcW w:w="300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3454E" w14:textId="77777777" w:rsidR="00A97A1C" w:rsidRDefault="00000000">
            <w:r>
              <w:rPr>
                <w:rFonts w:eastAsia="Times New Roman"/>
                <w:b/>
                <w:bCs/>
                <w:sz w:val="20"/>
                <w:szCs w:val="20"/>
              </w:rPr>
              <w:t>Overall</w:t>
            </w:r>
          </w:p>
        </w:tc>
        <w:tc>
          <w:tcPr>
            <w:tcW w:w="188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66D65" w14:textId="77777777" w:rsidR="00A97A1C" w:rsidRDefault="00000000">
            <w:pPr>
              <w:jc w:val="center"/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3.20</w:t>
            </w:r>
          </w:p>
        </w:tc>
        <w:tc>
          <w:tcPr>
            <w:tcW w:w="188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F8E0A" w14:textId="77777777" w:rsidR="00A97A1C" w:rsidRDefault="00000000">
            <w:pPr>
              <w:jc w:val="center"/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4.18</w:t>
            </w:r>
          </w:p>
        </w:tc>
        <w:tc>
          <w:tcPr>
            <w:tcW w:w="188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8E103" w14:textId="77777777" w:rsidR="00A97A1C" w:rsidRDefault="00000000">
            <w:pPr>
              <w:jc w:val="center"/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2.35</w:t>
            </w:r>
          </w:p>
        </w:tc>
      </w:tr>
    </w:tbl>
    <w:p w14:paraId="475612FB" w14:textId="77777777" w:rsidR="00A97A1C" w:rsidRDefault="00A97A1C">
      <w:pPr>
        <w:spacing w:after="120"/>
        <w:rPr>
          <w:rFonts w:hint="eastAsia"/>
        </w:rPr>
      </w:pPr>
    </w:p>
    <w:p w14:paraId="4C22F9D4" w14:textId="77777777" w:rsidR="00A97A1C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621FF2E" wp14:editId="7147727B">
            <wp:extent cx="4953000" cy="2266950"/>
            <wp:effectExtent l="0" t="0" r="0" b="0"/>
            <wp:docPr id="1" name="Figure 1. Mean scores heatmap by source — Round 1" descr="Figure 1. Mean scores heatmap by source — Round 1" title="Figure 1. Mean scores heatmap by source — Roun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41314" w14:textId="03F2C9BC" w:rsidR="00A97A1C" w:rsidRDefault="00000000" w:rsidP="001302D6">
      <w:pPr>
        <w:spacing w:after="160"/>
        <w:jc w:val="center"/>
        <w:rPr>
          <w:rFonts w:hint="eastAsia"/>
        </w:rPr>
      </w:pPr>
      <w:r>
        <w:rPr>
          <w:rFonts w:eastAsia="Times New Roman"/>
          <w:i/>
          <w:iCs/>
          <w:color w:val="444444"/>
          <w:sz w:val="20"/>
          <w:szCs w:val="20"/>
        </w:rPr>
        <w:t>Figure 1. Mean scores heatmap by source — Round 1</w:t>
      </w:r>
    </w:p>
    <w:p w14:paraId="0EFCDD54" w14:textId="77777777" w:rsidR="00A97A1C" w:rsidRDefault="00000000">
      <w:pPr>
        <w:pStyle w:val="Heading2"/>
      </w:pPr>
      <w:proofErr w:type="gramStart"/>
      <w:r>
        <w:t>4.2  Score</w:t>
      </w:r>
      <w:proofErr w:type="gramEnd"/>
      <w:r>
        <w:t xml:space="preserve"> Distribution</w:t>
      </w:r>
    </w:p>
    <w:p w14:paraId="6D9800E9" w14:textId="6E5775D7" w:rsidR="0047501D" w:rsidRDefault="00000000" w:rsidP="007353D2">
      <w:pPr>
        <w:spacing w:after="160"/>
        <w:jc w:val="both"/>
        <w:rPr>
          <w:rFonts w:eastAsia="Times New Roman"/>
        </w:rPr>
      </w:pPr>
      <w:r>
        <w:rPr>
          <w:rFonts w:eastAsia="Times New Roman"/>
        </w:rPr>
        <w:t>Figure 2 shows the distribution of overall scores. Statt comments are concentrated at 4–5, human comments span 2–5 with a median around 3–4, and Gemini comments are concentrated at 2–3, indicating systematically lower quality across the board.</w:t>
      </w:r>
    </w:p>
    <w:p w14:paraId="2E103266" w14:textId="77777777" w:rsidR="001B4745" w:rsidRPr="001B4745" w:rsidRDefault="001B4745" w:rsidP="007353D2">
      <w:pPr>
        <w:spacing w:after="160"/>
        <w:jc w:val="both"/>
        <w:rPr>
          <w:rFonts w:eastAsia="Times New Roman" w:hint="eastAsia"/>
        </w:rPr>
      </w:pPr>
    </w:p>
    <w:p w14:paraId="25FBAD19" w14:textId="77777777" w:rsidR="00A97A1C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CFFD2AA" wp14:editId="5D41B8DF">
            <wp:extent cx="4953000" cy="2428875"/>
            <wp:effectExtent l="0" t="0" r="0" b="0"/>
            <wp:docPr id="555499740" name="Figure 2. Overall score distribution by source — Round 1" descr="Figure 2. Overall score distribution by source — Round 1" title="Figure 2. Overall score distribution by source — Roun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C6BDA" w14:textId="77777777" w:rsidR="00A97A1C" w:rsidRDefault="00000000">
      <w:pPr>
        <w:spacing w:after="160"/>
        <w:jc w:val="center"/>
      </w:pPr>
      <w:r>
        <w:rPr>
          <w:rFonts w:eastAsia="Times New Roman"/>
          <w:i/>
          <w:iCs/>
          <w:color w:val="444444"/>
          <w:sz w:val="20"/>
          <w:szCs w:val="20"/>
        </w:rPr>
        <w:t>Figure 2. Overall score distribution by source — Round 1</w:t>
      </w:r>
    </w:p>
    <w:p w14:paraId="0A0A5683" w14:textId="77777777" w:rsidR="0047501D" w:rsidRDefault="0047501D">
      <w:pPr>
        <w:pStyle w:val="Heading2"/>
      </w:pPr>
    </w:p>
    <w:p w14:paraId="1A3266E2" w14:textId="3AD149D5" w:rsidR="00A97A1C" w:rsidRDefault="00000000">
      <w:pPr>
        <w:pStyle w:val="Heading2"/>
      </w:pPr>
      <w:proofErr w:type="gramStart"/>
      <w:r>
        <w:t>4.3  Per</w:t>
      </w:r>
      <w:proofErr w:type="gramEnd"/>
      <w:r>
        <w:t>-Criterion Breakdown</w:t>
      </w:r>
    </w:p>
    <w:p w14:paraId="1AA1BA08" w14:textId="77777777" w:rsidR="00A97A1C" w:rsidRDefault="00000000">
      <w:pPr>
        <w:spacing w:after="160"/>
        <w:jc w:val="both"/>
      </w:pPr>
      <w:r>
        <w:rPr>
          <w:rFonts w:eastAsia="Times New Roman"/>
        </w:rPr>
        <w:t>Figure 3 shows box plots for each criterion. Key patterns:</w:t>
      </w:r>
    </w:p>
    <w:p w14:paraId="496A74C9" w14:textId="77777777" w:rsidR="00A97A1C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eastAsia="Times New Roman"/>
        </w:rPr>
        <w:lastRenderedPageBreak/>
        <w:t>Evidence is the weakest criterion for both human (2.12) and Gemini (1.30) comments, reflecting a general absence of data or citations. Statt scores considerably higher (3.30).</w:t>
      </w:r>
    </w:p>
    <w:p w14:paraId="140F1F7C" w14:textId="77777777" w:rsidR="00A97A1C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eastAsia="Times New Roman"/>
        </w:rPr>
        <w:t>Statt comments score markedly higher on Actionability (4.82) and Structure/Formatting (4.89), suggesting the platform's templated approach produces well-organized, recommendation-oriented output.</w:t>
      </w:r>
    </w:p>
    <w:p w14:paraId="25C51BC9" w14:textId="619766DD" w:rsidR="00A97A1C" w:rsidRPr="00C02249" w:rsidRDefault="00000000" w:rsidP="00EB0186">
      <w:pPr>
        <w:pStyle w:val="ListParagraph"/>
        <w:numPr>
          <w:ilvl w:val="0"/>
          <w:numId w:val="2"/>
        </w:numPr>
        <w:spacing w:after="100"/>
      </w:pPr>
      <w:r>
        <w:rPr>
          <w:rFonts w:eastAsia="Times New Roman"/>
        </w:rPr>
        <w:t>Human comments outperform Gemini on Reasoning (3.46 vs. 2.40), Impact (3.11 vs. 2.29), and Actionability (3.35 vs. 2.52), indicating that real-world comments, while less polished, convey more substantive arguments.</w:t>
      </w:r>
    </w:p>
    <w:p w14:paraId="43AE0DFB" w14:textId="77777777" w:rsidR="00C02249" w:rsidRDefault="00C02249" w:rsidP="00C02249">
      <w:pPr>
        <w:spacing w:after="100"/>
        <w:rPr>
          <w:rFonts w:hint="eastAsia"/>
        </w:rPr>
      </w:pPr>
    </w:p>
    <w:p w14:paraId="15C7A2FF" w14:textId="77777777" w:rsidR="00A97A1C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D5E192E" wp14:editId="5DF8CF34">
            <wp:extent cx="4953000" cy="4019550"/>
            <wp:effectExtent l="0" t="0" r="0" b="0"/>
            <wp:docPr id="60819519" name="Figure 3. Score distributions by criterion and source — Round 1" descr="Figure 3. Score distributions by criterion and source — Round 1" title="Figure 3. Score distributions by criterion and source — Roun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4D439" w14:textId="77777777" w:rsidR="00A97A1C" w:rsidRDefault="00000000">
      <w:pPr>
        <w:spacing w:after="160"/>
        <w:jc w:val="center"/>
      </w:pPr>
      <w:r>
        <w:rPr>
          <w:rFonts w:eastAsia="Times New Roman"/>
          <w:i/>
          <w:iCs/>
          <w:color w:val="444444"/>
          <w:sz w:val="20"/>
          <w:szCs w:val="20"/>
        </w:rPr>
        <w:t>Figure 3. Score distributions by criterion and source — Round 1</w:t>
      </w:r>
    </w:p>
    <w:p w14:paraId="43A562EF" w14:textId="77777777" w:rsidR="0047501D" w:rsidRDefault="0047501D">
      <w:pPr>
        <w:pStyle w:val="Heading2"/>
      </w:pPr>
    </w:p>
    <w:p w14:paraId="680E6266" w14:textId="41967222" w:rsidR="00A97A1C" w:rsidRDefault="00000000">
      <w:pPr>
        <w:pStyle w:val="Heading2"/>
      </w:pPr>
      <w:proofErr w:type="gramStart"/>
      <w:r>
        <w:t>4.4  Agency</w:t>
      </w:r>
      <w:proofErr w:type="gramEnd"/>
      <w:r>
        <w:t>-Level Breakdown</w:t>
      </w:r>
    </w:p>
    <w:p w14:paraId="163A13C4" w14:textId="08520408" w:rsidR="00A97A1C" w:rsidRDefault="00000000" w:rsidP="00EB0186">
      <w:pPr>
        <w:spacing w:after="160"/>
        <w:jc w:val="both"/>
        <w:rPr>
          <w:rFonts w:hint="eastAsia"/>
        </w:rPr>
      </w:pPr>
      <w:r>
        <w:rPr>
          <w:rFonts w:eastAsia="Times New Roman"/>
        </w:rPr>
        <w:t>Figure 4 shows mean overall scores broken down by agency and source. Statt consistently outperforms the other two sources across all three agencies (EPA: 4.23, FDA: 4.01, FMCSA: 4.27). Human comments score in the mid-range (EPA: 3.87, FDA: 3.28, FMCSA: 2.47), with FMCSA showing the largest gap to Statt. Gemini comments score lowest at all three agencies (EPA: 2.68, FDA: 2.09, FMCSA: 2.27).</w:t>
      </w:r>
    </w:p>
    <w:p w14:paraId="4D14F5B5" w14:textId="77777777" w:rsidR="00A97A1C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D31E166" wp14:editId="6DA0C1EC">
            <wp:extent cx="3048000" cy="6143625"/>
            <wp:effectExtent l="0" t="0" r="0" b="0"/>
            <wp:docPr id="2143359636" name="Figure 4. Mean overall score by agency and source — Round 1" descr="Figure 4. Mean overall score by agency and source — Round 1" title="Figure 4. Mean overall score by agency and source — Roun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300BD" w14:textId="77777777" w:rsidR="00A97A1C" w:rsidRDefault="00000000">
      <w:pPr>
        <w:spacing w:after="160"/>
        <w:jc w:val="center"/>
      </w:pPr>
      <w:r>
        <w:rPr>
          <w:rFonts w:eastAsia="Times New Roman"/>
          <w:i/>
          <w:iCs/>
          <w:color w:val="444444"/>
          <w:sz w:val="20"/>
          <w:szCs w:val="20"/>
        </w:rPr>
        <w:t>Figure 4. Mean overall score by agency and source — Round 1</w:t>
      </w:r>
    </w:p>
    <w:p w14:paraId="2AACC88C" w14:textId="77777777" w:rsidR="0047501D" w:rsidRDefault="0047501D">
      <w:pPr>
        <w:pStyle w:val="Heading2"/>
      </w:pPr>
    </w:p>
    <w:p w14:paraId="31E02049" w14:textId="1BF8965A" w:rsidR="00A97A1C" w:rsidRDefault="00000000">
      <w:pPr>
        <w:pStyle w:val="Heading2"/>
      </w:pPr>
      <w:proofErr w:type="gramStart"/>
      <w:r>
        <w:t>4.5  Key</w:t>
      </w:r>
      <w:proofErr w:type="gramEnd"/>
      <w:r>
        <w:t xml:space="preserve"> Observations</w:t>
      </w:r>
    </w:p>
    <w:p w14:paraId="7E437140" w14:textId="77777777" w:rsidR="00A97A1C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eastAsia="Times New Roman"/>
        </w:rPr>
        <w:t>Statt-generated comments substantially outperform both human and Gemini comments across all criteria, achieving an overall mean of 4.18 versus 3.20 (human) and 2.35 (Gemini).</w:t>
      </w:r>
    </w:p>
    <w:p w14:paraId="7C5C9131" w14:textId="77777777" w:rsidR="00A97A1C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eastAsia="Times New Roman"/>
        </w:rPr>
        <w:lastRenderedPageBreak/>
        <w:t>Human comments are meaningfully better than Gemini-generated comments on most dimensions, particularly Reasoning, Impact, and Actionability — suggesting real-world comments carry substantive content despite weaker structure.</w:t>
      </w:r>
    </w:p>
    <w:p w14:paraId="063B090E" w14:textId="77777777" w:rsidR="00A97A1C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eastAsia="Times New Roman"/>
        </w:rPr>
        <w:t>The Statt advantage is largest for Actionability (Δ = 1.47 vs. human) and Evidence (Δ = 1.18 vs. human), reflecting the platform's structured generation approach.</w:t>
      </w:r>
    </w:p>
    <w:p w14:paraId="21D70221" w14:textId="77777777" w:rsidR="00A97A1C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eastAsia="Times New Roman"/>
        </w:rPr>
        <w:t>Evidence is universally the lowest-scoring criterion, pointing to a shared limitation across sources in substantiating claims with data or citations.</w:t>
      </w:r>
    </w:p>
    <w:p w14:paraId="50796DA0" w14:textId="77777777" w:rsidR="00A97A1C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eastAsia="Times New Roman"/>
        </w:rPr>
        <w:t>Results are consistent across EPA, FDA, and FMCSA dockets, indicating findings are not specific to a single regulatory context.</w:t>
      </w:r>
    </w:p>
    <w:p w14:paraId="0A2080C4" w14:textId="77777777" w:rsidR="0047501D" w:rsidRDefault="0047501D">
      <w:pPr>
        <w:pStyle w:val="Heading1"/>
      </w:pPr>
    </w:p>
    <w:p w14:paraId="5D6F7175" w14:textId="32372F5B" w:rsidR="00A97A1C" w:rsidRDefault="00000000">
      <w:pPr>
        <w:pStyle w:val="Heading1"/>
      </w:pPr>
      <w:r>
        <w:t>5. Extension — Round 2: Expanded Human Corpus</w:t>
      </w:r>
    </w:p>
    <w:p w14:paraId="176089A5" w14:textId="77777777" w:rsidR="00A97A1C" w:rsidRDefault="00000000">
      <w:pPr>
        <w:spacing w:after="160"/>
        <w:jc w:val="both"/>
      </w:pPr>
      <w:r>
        <w:rPr>
          <w:rFonts w:eastAsia="Times New Roman"/>
        </w:rPr>
        <w:t>To test robustness, the human corpus was expanded from ~298 to ~3,295 comments by adding approximately 3,000 comments collected directly from Regulations.gov. The AI comment sets (Statt and Gemini) remain unchanged.</w:t>
      </w:r>
    </w:p>
    <w:p w14:paraId="5FF32097" w14:textId="4D714EEB" w:rsidR="00A97A1C" w:rsidRDefault="00000000" w:rsidP="00EB0186">
      <w:pPr>
        <w:spacing w:after="160"/>
        <w:jc w:val="both"/>
        <w:rPr>
          <w:rFonts w:eastAsia="Times New Roman"/>
        </w:rPr>
      </w:pPr>
      <w:r>
        <w:rPr>
          <w:rFonts w:eastAsia="Times New Roman"/>
        </w:rPr>
        <w:t>As shown in Figure 5, the expanded human corpus yields markedly lower mean scores across all criteria — overall 2.31 vs. 3.20 in Round 1. This reflects the broader composition of public comments on Regulations.gov, which skews toward shorter, less substantive submissions relative to the curated Round 1 set. Despite this shift, the relative ranking across sources is preserved: Statt remains highest (4.18), followed by human (2.31), then Gemini (2.35 — now narrowly above the full human baseline).</w:t>
      </w:r>
    </w:p>
    <w:p w14:paraId="66F44892" w14:textId="77777777" w:rsidR="00361B09" w:rsidRDefault="00361B09" w:rsidP="00EB0186">
      <w:pPr>
        <w:spacing w:after="160"/>
        <w:jc w:val="both"/>
        <w:rPr>
          <w:rFonts w:hint="eastAsia"/>
        </w:rPr>
      </w:pPr>
    </w:p>
    <w:p w14:paraId="0D361F7E" w14:textId="77777777" w:rsidR="00A97A1C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B3C5998" wp14:editId="6545F468">
            <wp:extent cx="4953000" cy="2266950"/>
            <wp:effectExtent l="0" t="0" r="0" b="0"/>
            <wp:docPr id="481663261" name="Figure 5. Mean scores heatmap by source — Full corpus (Round 2)" descr="Figure 5. Mean scores heatmap by source — Full corpus (Round 2)" title="Figure 5. Mean scores heatmap by source — Full corpus (Round 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D65A3" w14:textId="0EED6710" w:rsidR="00A97A1C" w:rsidRDefault="00000000" w:rsidP="00EB0186">
      <w:pPr>
        <w:spacing w:after="160"/>
        <w:jc w:val="center"/>
        <w:rPr>
          <w:rFonts w:hint="eastAsia"/>
        </w:rPr>
      </w:pPr>
      <w:r>
        <w:rPr>
          <w:rFonts w:eastAsia="Times New Roman"/>
          <w:i/>
          <w:iCs/>
          <w:color w:val="444444"/>
          <w:sz w:val="20"/>
          <w:szCs w:val="20"/>
        </w:rPr>
        <w:t>Figure 5. Mean scores heatmap by source — Full corpus (Round 2)</w:t>
      </w:r>
    </w:p>
    <w:p w14:paraId="0A5E0536" w14:textId="77777777" w:rsidR="00361B09" w:rsidRDefault="00361B09">
      <w:pPr>
        <w:spacing w:after="160"/>
        <w:jc w:val="both"/>
        <w:rPr>
          <w:rFonts w:eastAsia="Times New Roman"/>
        </w:rPr>
      </w:pPr>
    </w:p>
    <w:p w14:paraId="08E0DE22" w14:textId="1AB0C40E" w:rsidR="00A97A1C" w:rsidRDefault="00000000">
      <w:pPr>
        <w:spacing w:after="160"/>
        <w:jc w:val="both"/>
        <w:rPr>
          <w:rFonts w:eastAsia="Times New Roman"/>
        </w:rPr>
      </w:pPr>
      <w:r>
        <w:rPr>
          <w:rFonts w:eastAsia="Times New Roman"/>
        </w:rPr>
        <w:lastRenderedPageBreak/>
        <w:t>The Round 2 results confirm that the Statt quality advantage is robust: even as the human baseline adjusts to a more representative sample, Statt comments continue to score approximately 2 points higher overall. The main implication is that the Round 1 human corpus represents a relatively high-quality subset of public commenters, and the quality gap between Statt and a typical Regulations.gov submission is even wider than Round 1 suggests.</w:t>
      </w:r>
    </w:p>
    <w:p w14:paraId="661E4482" w14:textId="77777777" w:rsidR="0047501D" w:rsidRDefault="0047501D">
      <w:pPr>
        <w:spacing w:after="160"/>
        <w:jc w:val="both"/>
        <w:rPr>
          <w:rFonts w:hint="eastAsia"/>
        </w:rPr>
      </w:pPr>
    </w:p>
    <w:p w14:paraId="35B66F81" w14:textId="77777777" w:rsidR="00A97A1C" w:rsidRDefault="00000000">
      <w:pPr>
        <w:pStyle w:val="Heading1"/>
      </w:pPr>
      <w:r>
        <w:t>6. Discussion Points</w:t>
      </w:r>
    </w:p>
    <w:p w14:paraId="32E087B3" w14:textId="77777777" w:rsidR="00A97A1C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eastAsia="Times New Roman"/>
        </w:rPr>
        <w:t>Interpretation of the Statt scoring advantage: to what extent do high scores reflect genuine comment quality versus conformance to a recognizable structure that the LLM evaluator rewards?</w:t>
      </w:r>
    </w:p>
    <w:p w14:paraId="6AC29DB7" w14:textId="77777777" w:rsidR="00A97A1C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eastAsia="Times New Roman"/>
        </w:rPr>
        <w:t>Human comment variability: Round 1 and Round 2 human corpora differ substantially in quality (overall 3.20 vs. 2.31). What does this imply about the reference population for future comparisons?</w:t>
      </w:r>
    </w:p>
    <w:p w14:paraId="47295E74" w14:textId="77777777" w:rsidR="00A97A1C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eastAsia="Times New Roman"/>
        </w:rPr>
        <w:t>Validity of LLM-as-evaluator: methodological limitations and potential calibration against human expert ratings.</w:t>
      </w:r>
    </w:p>
    <w:p w14:paraId="19197457" w14:textId="77777777" w:rsidR="00A97A1C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eastAsia="Times New Roman"/>
        </w:rPr>
        <w:t>Practical implications: how agencies might interpret or respond to a large influx of high-scoring, AI-generated comments relative to human submissions.</w:t>
      </w:r>
    </w:p>
    <w:p w14:paraId="0090EC2D" w14:textId="77777777" w:rsidR="00A97A1C" w:rsidRDefault="00A97A1C">
      <w:pPr>
        <w:spacing w:after="200"/>
      </w:pPr>
    </w:p>
    <w:p w14:paraId="52C12129" w14:textId="400CA884" w:rsidR="00A97A1C" w:rsidRDefault="00000000">
      <w:pPr>
        <w:pBdr>
          <w:top w:val="single" w:sz="1" w:space="0" w:color="auto"/>
        </w:pBdr>
      </w:pPr>
      <w:r>
        <w:rPr>
          <w:rFonts w:eastAsia="Times New Roman"/>
          <w:i/>
          <w:iCs/>
          <w:color w:val="888888"/>
          <w:sz w:val="18"/>
          <w:szCs w:val="18"/>
        </w:rPr>
        <w:t xml:space="preserve">Prepared by the </w:t>
      </w:r>
      <w:r w:rsidR="00C51549">
        <w:rPr>
          <w:rFonts w:eastAsia="Times New Roman"/>
          <w:i/>
          <w:iCs/>
          <w:color w:val="888888"/>
          <w:sz w:val="18"/>
          <w:szCs w:val="18"/>
        </w:rPr>
        <w:t>Prof. Michael Bailey’s</w:t>
      </w:r>
      <w:r>
        <w:rPr>
          <w:rFonts w:eastAsia="Times New Roman"/>
          <w:i/>
          <w:iCs/>
          <w:color w:val="888888"/>
          <w:sz w:val="18"/>
          <w:szCs w:val="18"/>
        </w:rPr>
        <w:t xml:space="preserve"> Research Team </w:t>
      </w:r>
      <w:r w:rsidR="00C51549">
        <w:rPr>
          <w:rFonts w:eastAsia="Times New Roman"/>
          <w:i/>
          <w:iCs/>
          <w:color w:val="888888"/>
          <w:sz w:val="18"/>
          <w:szCs w:val="18"/>
        </w:rPr>
        <w:t>at</w:t>
      </w:r>
      <w:r>
        <w:rPr>
          <w:rFonts w:eastAsia="Times New Roman"/>
          <w:i/>
          <w:iCs/>
          <w:color w:val="888888"/>
          <w:sz w:val="18"/>
          <w:szCs w:val="18"/>
        </w:rPr>
        <w:t xml:space="preserve"> Georgetown University. For internal and discussion use only.</w:t>
      </w:r>
    </w:p>
    <w:sectPr w:rsidR="00A97A1C">
      <w:pgSz w:w="12240" w:h="15840"/>
      <w:pgMar w:top="1800" w:right="1800" w:bottom="180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56B3F"/>
    <w:multiLevelType w:val="hybridMultilevel"/>
    <w:tmpl w:val="23D296F2"/>
    <w:lvl w:ilvl="0" w:tplc="4432C150">
      <w:start w:val="1"/>
      <w:numFmt w:val="bullet"/>
      <w:lvlText w:val="•"/>
      <w:lvlJc w:val="left"/>
      <w:pPr>
        <w:ind w:left="720" w:hanging="360"/>
      </w:pPr>
    </w:lvl>
    <w:lvl w:ilvl="1" w:tplc="B4386F04">
      <w:numFmt w:val="decimal"/>
      <w:lvlText w:val=""/>
      <w:lvlJc w:val="left"/>
    </w:lvl>
    <w:lvl w:ilvl="2" w:tplc="6654252A">
      <w:numFmt w:val="decimal"/>
      <w:lvlText w:val=""/>
      <w:lvlJc w:val="left"/>
    </w:lvl>
    <w:lvl w:ilvl="3" w:tplc="097E6802">
      <w:numFmt w:val="decimal"/>
      <w:lvlText w:val=""/>
      <w:lvlJc w:val="left"/>
    </w:lvl>
    <w:lvl w:ilvl="4" w:tplc="895E5742">
      <w:numFmt w:val="decimal"/>
      <w:lvlText w:val=""/>
      <w:lvlJc w:val="left"/>
    </w:lvl>
    <w:lvl w:ilvl="5" w:tplc="1A603FEA">
      <w:numFmt w:val="decimal"/>
      <w:lvlText w:val=""/>
      <w:lvlJc w:val="left"/>
    </w:lvl>
    <w:lvl w:ilvl="6" w:tplc="66D8D49C">
      <w:numFmt w:val="decimal"/>
      <w:lvlText w:val=""/>
      <w:lvlJc w:val="left"/>
    </w:lvl>
    <w:lvl w:ilvl="7" w:tplc="E588364C">
      <w:numFmt w:val="decimal"/>
      <w:lvlText w:val=""/>
      <w:lvlJc w:val="left"/>
    </w:lvl>
    <w:lvl w:ilvl="8" w:tplc="4880DEEE">
      <w:numFmt w:val="decimal"/>
      <w:lvlText w:val=""/>
      <w:lvlJc w:val="left"/>
    </w:lvl>
  </w:abstractNum>
  <w:abstractNum w:abstractNumId="1" w15:restartNumberingAfterBreak="0">
    <w:nsid w:val="3F474EA3"/>
    <w:multiLevelType w:val="hybridMultilevel"/>
    <w:tmpl w:val="0F84A198"/>
    <w:lvl w:ilvl="0" w:tplc="C6EE1408">
      <w:start w:val="1"/>
      <w:numFmt w:val="bullet"/>
      <w:lvlText w:val="●"/>
      <w:lvlJc w:val="left"/>
      <w:pPr>
        <w:ind w:left="720" w:hanging="360"/>
      </w:pPr>
    </w:lvl>
    <w:lvl w:ilvl="1" w:tplc="E1F049F0">
      <w:start w:val="1"/>
      <w:numFmt w:val="bullet"/>
      <w:lvlText w:val="○"/>
      <w:lvlJc w:val="left"/>
      <w:pPr>
        <w:ind w:left="1440" w:hanging="360"/>
      </w:pPr>
    </w:lvl>
    <w:lvl w:ilvl="2" w:tplc="CC965592">
      <w:start w:val="1"/>
      <w:numFmt w:val="bullet"/>
      <w:lvlText w:val="■"/>
      <w:lvlJc w:val="left"/>
      <w:pPr>
        <w:ind w:left="2160" w:hanging="360"/>
      </w:pPr>
    </w:lvl>
    <w:lvl w:ilvl="3" w:tplc="4B16FA52">
      <w:start w:val="1"/>
      <w:numFmt w:val="bullet"/>
      <w:lvlText w:val="●"/>
      <w:lvlJc w:val="left"/>
      <w:pPr>
        <w:ind w:left="2880" w:hanging="360"/>
      </w:pPr>
    </w:lvl>
    <w:lvl w:ilvl="4" w:tplc="BFD6EBF6">
      <w:start w:val="1"/>
      <w:numFmt w:val="bullet"/>
      <w:lvlText w:val="○"/>
      <w:lvlJc w:val="left"/>
      <w:pPr>
        <w:ind w:left="3600" w:hanging="360"/>
      </w:pPr>
    </w:lvl>
    <w:lvl w:ilvl="5" w:tplc="BC964B30">
      <w:start w:val="1"/>
      <w:numFmt w:val="bullet"/>
      <w:lvlText w:val="■"/>
      <w:lvlJc w:val="left"/>
      <w:pPr>
        <w:ind w:left="4320" w:hanging="360"/>
      </w:pPr>
    </w:lvl>
    <w:lvl w:ilvl="6" w:tplc="02C69DF4">
      <w:start w:val="1"/>
      <w:numFmt w:val="bullet"/>
      <w:lvlText w:val="●"/>
      <w:lvlJc w:val="left"/>
      <w:pPr>
        <w:ind w:left="5040" w:hanging="360"/>
      </w:pPr>
    </w:lvl>
    <w:lvl w:ilvl="7" w:tplc="23A85DAA">
      <w:start w:val="1"/>
      <w:numFmt w:val="bullet"/>
      <w:lvlText w:val="●"/>
      <w:lvlJc w:val="left"/>
      <w:pPr>
        <w:ind w:left="5760" w:hanging="360"/>
      </w:pPr>
    </w:lvl>
    <w:lvl w:ilvl="8" w:tplc="A6B639AC">
      <w:start w:val="1"/>
      <w:numFmt w:val="bullet"/>
      <w:lvlText w:val="●"/>
      <w:lvlJc w:val="left"/>
      <w:pPr>
        <w:ind w:left="6480" w:hanging="360"/>
      </w:pPr>
    </w:lvl>
  </w:abstractNum>
  <w:num w:numId="1" w16cid:durableId="531844507">
    <w:abstractNumId w:val="1"/>
    <w:lvlOverride w:ilvl="0">
      <w:startOverride w:val="1"/>
    </w:lvlOverride>
  </w:num>
  <w:num w:numId="2" w16cid:durableId="97676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7A1C"/>
    <w:rsid w:val="001302D6"/>
    <w:rsid w:val="00166A53"/>
    <w:rsid w:val="00191849"/>
    <w:rsid w:val="001B4745"/>
    <w:rsid w:val="00361B09"/>
    <w:rsid w:val="0047501D"/>
    <w:rsid w:val="00622235"/>
    <w:rsid w:val="007353D2"/>
    <w:rsid w:val="0075137A"/>
    <w:rsid w:val="00A97A1C"/>
    <w:rsid w:val="00C02249"/>
    <w:rsid w:val="00C51549"/>
    <w:rsid w:val="00EB0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FFB7D4"/>
  <w15:docId w15:val="{F15F3301-3581-9846-83AA-C54BE576D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uiPriority w:val="9"/>
    <w:qFormat/>
    <w:pPr>
      <w:spacing w:before="280" w:after="120"/>
      <w:outlineLvl w:val="0"/>
    </w:pPr>
    <w:rPr>
      <w:rFonts w:eastAsia="Times New Roman"/>
      <w:b/>
      <w:bCs/>
      <w:color w:val="000000"/>
      <w:sz w:val="26"/>
      <w:szCs w:val="26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rFonts w:eastAsia="Times New Roman"/>
      <w:b/>
      <w:bCs/>
      <w:color w:val="00000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1135</Words>
  <Characters>6470</Characters>
  <Application>Microsoft Office Word</Application>
  <DocSecurity>0</DocSecurity>
  <Lines>53</Lines>
  <Paragraphs>15</Paragraphs>
  <ScaleCrop>false</ScaleCrop>
  <Company/>
  <LinksUpToDate>false</LinksUpToDate>
  <CharactersWithSpaces>7590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Guo Zhan</cp:lastModifiedBy>
  <cp:revision>12</cp:revision>
  <dcterms:created xsi:type="dcterms:W3CDTF">2026-05-30T07:47:00Z</dcterms:created>
  <dcterms:modified xsi:type="dcterms:W3CDTF">2026-05-30T08:03:00Z</dcterms:modified>
</cp:coreProperties>
</file>