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MEMORANDUM</w:t>
      </w:r>
    </w:p>
    <w:p>
      <w:pPr>
        <w:tabs>
          <w:tab w:pos="1296" w:val="left"/>
        </w:tabs>
        <w:spacing w:after="40"/>
      </w:pPr>
      <w:r>
        <w:rPr>
          <w:b/>
        </w:rPr>
        <w:t>TO:</w:t>
      </w:r>
      <w:r>
        <w:tab/>
        <w:t>Professor Brodnax</w:t>
      </w:r>
    </w:p>
    <w:p>
      <w:pPr>
        <w:tabs>
          <w:tab w:pos="1296" w:val="left"/>
        </w:tabs>
        <w:spacing w:after="40"/>
      </w:pPr>
      <w:r>
        <w:rPr>
          <w:b/>
        </w:rPr>
        <w:t>FROM:</w:t>
      </w:r>
      <w:r>
        <w:tab/>
        <w:t>Guo Zhan</w:t>
      </w:r>
    </w:p>
    <w:p>
      <w:pPr>
        <w:tabs>
          <w:tab w:pos="1296" w:val="left"/>
        </w:tabs>
        <w:spacing w:after="40"/>
      </w:pPr>
      <w:r>
        <w:rPr>
          <w:b/>
        </w:rPr>
        <w:t>DATE:</w:t>
      </w:r>
      <w:r>
        <w:tab/>
        <w:t>October 30, 2026</w:t>
      </w:r>
    </w:p>
    <w:p>
      <w:pPr>
        <w:tabs>
          <w:tab w:pos="1296" w:val="left"/>
        </w:tabs>
        <w:spacing w:after="40"/>
      </w:pPr>
      <w:r>
        <w:rPr>
          <w:b/>
        </w:rPr>
        <w:t>RE:</w:t>
      </w:r>
      <w:r>
        <w:tab/>
        <w:t>Memo 2: Concept Showcase Plan</w:t>
      </w:r>
    </w:p>
    <w:p>
      <w:pPr>
        <w:pBdr>
          <w:bottom w:val="single" w:sz="8" w:space="1" w:color="000000"/>
        </w:pBdr>
      </w:pPr>
    </w:p>
    <w:p>
      <w:pPr>
        <w:keepNext/>
        <w:spacing w:before="200"/>
      </w:pPr>
      <w:r>
        <w:rPr>
          <w:b/>
          <w:sz w:val="24"/>
        </w:rPr>
        <w:t>Concept</w:t>
      </w:r>
    </w:p>
    <w:p>
      <w:r>
        <w:t>In my analysis, artemether-lumefantrine, the largest malaria medicine at USD 0.9 billion, sits among HIV generics in the product network, not with other malaria medicines. That placement raises a question for a buyer: if disease area does not show who could make a medicine, what does?</w:t>
      </w:r>
    </w:p>
    <w:p>
      <w:r>
        <w:t>My showcase will highlight the results of my Insight Report, and the answer it offers is shared suppliers. Louvain community detection (Blondel et al., 2008) found seven communities with a modularity of 0.31, above the 0.22 average from 200 shuffled networks. This structure also helps predict entry. Density (Hidalgo et al., 2007) measures how close a medicine is to what a firm already supplies. Three-year entry rose from 0.15% at zero density to 8.1% above 0.5.</w:t>
      </w:r>
    </w:p>
    <w:p>
      <w:r>
        <w:t>Market shaping starts from unmet need, and having one or two suppliers does not show a problem by itself. Purchase records cannot show unmet need, so I will use WHO's latest invitations for 71 priority medicines as a public signal. For 39, a firm outside the current suppliers is close. For eight, none is, so a new source may need more active support. For 22, the Global Fund reported no recent purchases, and the network cannot say. The audience is a market-shaping lead who has confirmed a need and wants to know where to start.</w:t>
      </w:r>
    </w:p>
    <w:p>
      <w:pPr>
        <w:keepNext/>
        <w:spacing w:before="200"/>
      </w:pPr>
      <w:r>
        <w:rPr>
          <w:b/>
          <w:sz w:val="24"/>
        </w:rPr>
        <w:t>Medium</w:t>
      </w:r>
    </w:p>
    <w:p>
      <w:r>
        <w:t>The final product will be an interactive website, The Medicine Supplier Map, built with D3.js from my output tables and submitted as a web link. It opens with a step-by-step game that needs no medical background:</w:t>
      </w:r>
    </w:p>
    <w:p>
      <w:r>
        <w:t>1. The mission. It is 2018, and the reader must get a once-daily HIV pill to more people. Real organizations rarely partner with a company they doubt, so the reader first chooses whether speed, scale or price matters most.</w:t>
      </w:r>
    </w:p>
    <w:p>
      <w:r>
        <w:t>2. Three yearly choices. With names hidden, the reader compares company profiles from my network analysis, spends limited checks on WHO records, then picks a partner. Companies that start first become unavailable.</w:t>
      </w:r>
    </w:p>
    <w:p>
      <w:r>
        <w:t>3. The result. Dragging a timeline reveals real deliveries. The site then scores the plan on all three goals, because no plan wins on everything.</w:t>
      </w:r>
    </w:p>
    <w:p>
      <w:r>
        <w:t>4. The next call. For medicines WHO requests today, the reader sees which companies call for supply talks and which for approval support.</w:t>
      </w:r>
    </w:p>
    <w:p>
      <w:r>
        <w:t>The evidence and a medicine lookup follow the game.</w:t>
      </w:r>
    </w:p>
    <w:p>
      <w:r>
        <w:t>The site will state its limits. The result shows what companies really did, not what a partnership caused. WHO's list signals priority, not a shortage, and predictions rest on only 34 test entries.</w:t>
      </w:r>
    </w:p>
    <w:p>
      <w:r>
        <w:t>I chose this medium because making choices under time pressure makes supplier proximity easy to grasp.</w:t>
      </w:r>
    </w:p>
    <w:p>
      <w:pPr>
        <w:jc w:val="center"/>
      </w:pPr>
      <w:r>
        <w:rPr>
          <w:b/>
        </w:rPr>
        <w:t>References</w:t>
      </w:r>
    </w:p>
    <w:p>
      <w:pPr>
        <w:spacing w:line="480" w:lineRule="auto" w:after="0"/>
        <w:ind w:left="720" w:hanging="720"/>
      </w:pPr>
      <w:r>
        <w:t xml:space="preserve">Blondel, V. D., Guillaume, J.-L., Lambiotte, R., &amp; Lefebvre, E. (2008). Fast unfolding of communities in large networks. </w:t>
      </w:r>
      <w:r>
        <w:rPr>
          <w:i/>
        </w:rPr>
        <w:t>Journal of Statistical Mechanics: Theory and Experiment, 2008</w:t>
      </w:r>
      <w:r>
        <w:t>(10), P10008. https://doi.org/10.1088/1742-5468/2008/10/P10008</w:t>
      </w:r>
    </w:p>
    <w:p>
      <w:pPr>
        <w:spacing w:line="480" w:lineRule="auto" w:after="0"/>
        <w:ind w:left="720" w:hanging="720"/>
      </w:pPr>
      <w:r>
        <w:t xml:space="preserve">Hidalgo, C. A., Klinger, B., Barabási, A.-L., &amp; Hausmann, R. (2007). The product space conditions the development of nations. </w:t>
      </w:r>
      <w:r>
        <w:rPr>
          <w:i/>
        </w:rPr>
        <w:t>Science, 317</w:t>
      </w:r>
      <w:r>
        <w:t>(5837), 482–487. https://doi.org/10.1126/science.1144581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