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B9A3480" w14:textId="77777777" w:rsidR="004F5547" w:rsidRDefault="00000000">
      <w:pPr>
        <w:pStyle w:val="a4"/>
      </w:pPr>
      <w:r>
        <w:rPr>
          <w:rFonts w:ascii="Times New Roman" w:eastAsia="Times New Roman" w:hAnsi="Times New Roman" w:cs="Times New Roman"/>
        </w:rPr>
        <w:t>Who Builds Federal AI?</w:t>
      </w:r>
    </w:p>
    <w:p w14:paraId="65DD031E" w14:textId="77777777" w:rsidR="00301490" w:rsidRDefault="00000000">
      <w:pPr>
        <w:pStyle w:val="a6"/>
        <w:rPr>
          <w:rFonts w:cs="Times New Roman"/>
        </w:rPr>
      </w:pPr>
      <w:r>
        <w:rPr>
          <w:rFonts w:cs="Times New Roman"/>
        </w:rPr>
        <w:t>Vendors, Pilots, and the Technical Workforce, 2024–2026</w:t>
      </w:r>
    </w:p>
    <w:p w14:paraId="6ACD7009" w14:textId="77777777" w:rsidR="004F5547" w:rsidRDefault="00000000">
      <w:pPr>
        <w:pStyle w:val="a6"/>
      </w:pPr>
      <w:r>
        <w:rPr>
          <w:rFonts w:cs="Times New Roman"/>
        </w:rPr>
        <w:t>PPOL 5202 Project Proposal</w:t>
      </w:r>
    </w:p>
    <w:p w14:paraId="664FF6D0" w14:textId="77777777" w:rsidR="004F5547" w:rsidRDefault="00DE7BA1">
      <w:pPr>
        <w:pStyle w:val="Author"/>
      </w:pPr>
      <w:r>
        <w:rPr>
          <w:rFonts w:cs="Times New Roman" w:hint="eastAsia"/>
        </w:rPr>
        <w:t>G</w:t>
      </w:r>
      <w:r>
        <w:rPr>
          <w:rFonts w:cs="Times New Roman"/>
        </w:rPr>
        <w:t>uo (Nora) Zhan</w:t>
      </w:r>
    </w:p>
    <w:p w14:paraId="24BC78D5" w14:textId="77777777" w:rsidR="004F5547" w:rsidRDefault="00000000">
      <w:pPr>
        <w:pStyle w:val="a8"/>
      </w:pPr>
      <w:r>
        <w:rPr>
          <w:rFonts w:cs="Times New Roman"/>
        </w:rPr>
        <w:t>2026-09-21</w:t>
      </w:r>
    </w:p>
    <w:p w14:paraId="6D74531A" w14:textId="77777777" w:rsidR="004F5547" w:rsidRDefault="00000000">
      <w:pPr>
        <w:pStyle w:val="2"/>
      </w:pPr>
      <w:bookmarkStart w:id="0" w:name="policy-problem-audience-and-decision"/>
      <w:r>
        <w:rPr>
          <w:rFonts w:ascii="Times New Roman" w:eastAsia="Times New Roman" w:hAnsi="Times New Roman" w:cs="Times New Roman"/>
        </w:rPr>
        <w:t>1. Policy Problem, Audience, and Decision</w:t>
      </w:r>
    </w:p>
    <w:p w14:paraId="22A4F07A" w14:textId="77777777" w:rsidR="004F5547" w:rsidRDefault="00000000">
      <w:pPr>
        <w:pStyle w:val="FirstParagraph"/>
      </w:pPr>
      <w:r>
        <w:rPr>
          <w:rFonts w:cs="Times New Roman"/>
        </w:rPr>
        <w:t xml:space="preserve">In 2024, federal agencies hired about 460 technical and data staff a month. From February 2025 to April 2026, they hired about 50 a month. Meanwhile, reported AI use cases rose from 2,133 in the 2024 OMB inventory to 3,611 in the 2025 inventory. Federal AI kept growing while the government stopped hiring the people who could build it in-house. That raises a question neither trend answers alone: </w:t>
      </w:r>
      <w:r>
        <w:rPr>
          <w:rFonts w:cs="Times New Roman"/>
          <w:b/>
          <w:bCs/>
        </w:rPr>
        <w:t>who builds federal AI, and does it get past the pilot stage?</w:t>
      </w:r>
    </w:p>
    <w:p w14:paraId="2CAA3EAE" w14:textId="77777777" w:rsidR="004F5547" w:rsidRDefault="00000000">
      <w:pPr>
        <w:pStyle w:val="a0"/>
      </w:pPr>
      <w:r>
        <w:rPr>
          <w:rFonts w:cs="Times New Roman"/>
        </w:rPr>
        <w:t>The question matters because OMB’s 2025 guidance (M-25-21) asks agencies to accelerate AI use while keeping the capacity to test and monitor high-impact systems. An agency that buys its AI needs different internal skills from one that builds it.</w:t>
      </w:r>
    </w:p>
    <w:p w14:paraId="1A336232" w14:textId="77777777" w:rsidR="004F5547" w:rsidRDefault="00000000">
      <w:pPr>
        <w:pStyle w:val="a0"/>
      </w:pPr>
      <w:r>
        <w:rPr>
          <w:rFonts w:cs="Times New Roman"/>
          <w:b/>
          <w:bCs/>
        </w:rPr>
        <w:t>Client and audience.</w:t>
      </w:r>
      <w:r>
        <w:rPr>
          <w:rFonts w:cs="Times New Roman"/>
        </w:rPr>
        <w:t xml:space="preserve"> The hypothetical client is the Partnership for Public Service, a nonpartisan nonprofit that trains federal leaders and briefs congressional oversight committees. The audience is its research team and the committee staff it advises.</w:t>
      </w:r>
    </w:p>
    <w:p w14:paraId="404AC87E" w14:textId="77777777" w:rsidR="004F5547" w:rsidRDefault="00000000">
      <w:pPr>
        <w:pStyle w:val="a0"/>
      </w:pPr>
      <w:r>
        <w:rPr>
          <w:rFonts w:cs="Times New Roman"/>
          <w:b/>
          <w:bCs/>
        </w:rPr>
        <w:t>Decision supported.</w:t>
      </w:r>
      <w:r>
        <w:rPr>
          <w:rFonts w:cs="Times New Roman"/>
        </w:rPr>
        <w:t xml:space="preserve"> The product should help the client decide </w:t>
      </w:r>
      <w:r>
        <w:rPr>
          <w:rFonts w:cs="Times New Roman"/>
          <w:i/>
          <w:iCs/>
        </w:rPr>
        <w:t>where to focus its advice on building AI capacity</w:t>
      </w:r>
      <w:r>
        <w:rPr>
          <w:rFonts w:cs="Times New Roman"/>
        </w:rPr>
        <w:t>: which agencies rely most on vendors, which kinds of AI stall before deployment, and which technical occupations have the thinnest pipeline of new staff.</w:t>
      </w:r>
    </w:p>
    <w:p w14:paraId="0FFA69AF" w14:textId="77777777" w:rsidR="004F5547" w:rsidRDefault="00000000">
      <w:pPr>
        <w:pStyle w:val="a0"/>
      </w:pPr>
      <w:r>
        <w:rPr>
          <w:rFonts w:cs="Times New Roman"/>
          <w:b/>
          <w:bCs/>
        </w:rPr>
        <w:t>Analytical questions.</w:t>
      </w:r>
    </w:p>
    <w:p w14:paraId="14B5253C" w14:textId="77777777" w:rsidR="004F5547" w:rsidRDefault="00000000">
      <w:pPr>
        <w:pStyle w:val="Compact"/>
        <w:numPr>
          <w:ilvl w:val="0"/>
          <w:numId w:val="2"/>
        </w:numPr>
      </w:pPr>
      <w:r>
        <w:rPr>
          <w:rFonts w:cs="Times New Roman"/>
        </w:rPr>
        <w:t>Who builds the AI agencies run, vendors or agency staff, and how does this vary across agencies and types of AI?</w:t>
      </w:r>
    </w:p>
    <w:p w14:paraId="04622D4B" w14:textId="77777777" w:rsidR="004F5547" w:rsidRDefault="00000000">
      <w:pPr>
        <w:pStyle w:val="Compact"/>
        <w:numPr>
          <w:ilvl w:val="0"/>
          <w:numId w:val="2"/>
        </w:numPr>
      </w:pPr>
      <w:r>
        <w:rPr>
          <w:rFonts w:cs="Times New Roman"/>
        </w:rPr>
        <w:t>Which policy areas dominate each agency's AI portfolio, and how concentrated are agencies in one or two kinds of work?</w:t>
      </w:r>
    </w:p>
    <w:p w14:paraId="45703617" w14:textId="77777777" w:rsidR="004F5547" w:rsidRDefault="00000000">
      <w:pPr>
        <w:pStyle w:val="Compact"/>
        <w:numPr>
          <w:ilvl w:val="0"/>
          <w:numId w:val="2"/>
        </w:numPr>
      </w:pPr>
      <w:r>
        <w:rPr>
          <w:rFonts w:cs="Times New Roman"/>
        </w:rPr>
        <w:t>Which vendors appear most often across federal AI use cases, and how many agencies rely on them?</w:t>
      </w:r>
    </w:p>
    <w:p w14:paraId="7CD7F1C2" w14:textId="77777777" w:rsidR="004F5547" w:rsidRDefault="00000000">
      <w:pPr>
        <w:pStyle w:val="2"/>
      </w:pPr>
      <w:bookmarkStart w:id="1" w:name="data-viability"/>
      <w:bookmarkEnd w:id="0"/>
      <w:r>
        <w:rPr>
          <w:rFonts w:ascii="Times New Roman" w:eastAsia="Times New Roman" w:hAnsi="Times New Roman" w:cs="Times New Roman"/>
        </w:rPr>
        <w:t>2. Data Viability</w:t>
      </w:r>
    </w:p>
    <w:p w14:paraId="0362A4C7" w14:textId="77777777" w:rsidR="004F5547" w:rsidRDefault="00000000">
      <w:pPr>
        <w:pStyle w:val="FirstParagraph"/>
      </w:pPr>
      <w:r>
        <w:t>Two public federal sources carry the project: the OMB Federal Agency AI Use Case Inventories and OPM Federal Workforce Data. code/01_download_data.Rmd downloads them, and code/02_build_data.Rmd produces two master analysis tables, ai_use_cases.csv and workforce.csv. The Tableau workbook uses three chart-specific CSVs—make_or_buy.csv, agency_topics.csv, and vendor_concentration.csv—all reshaped from ai_use_cases.csv so that each view has the row structure and field types it needs. These are derived tables, not additional data sources. README.md documents the workflow and the within-OMB year-link key.</w:t>
      </w:r>
    </w:p>
    <w:p w14:paraId="7A581F29" w14:textId="77777777" w:rsidR="004F5547" w:rsidRDefault="00000000">
      <w:pPr>
        <w:pStyle w:val="TableCaption"/>
      </w:pPr>
      <w:r>
        <w:rPr>
          <w:rFonts w:cs="Times New Roman"/>
        </w:rPr>
        <w:t>Data viability, source 1</w:t>
      </w:r>
    </w:p>
    <w:tbl>
      <w:tblPr>
        <w:tblStyle w:val="Table"/>
        <w:tblW w:w="5000" w:type="pct"/>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020" w:firstRow="1" w:lastRow="0" w:firstColumn="0" w:lastColumn="0" w:noHBand="0" w:noVBand="0"/>
        <w:tblCaption w:val="Data viability, source 1"/>
      </w:tblPr>
      <w:tblGrid>
        <w:gridCol w:w="1748"/>
        <w:gridCol w:w="8028"/>
      </w:tblGrid>
      <w:tr w:rsidR="004F5547" w14:paraId="74DD330B" w14:textId="77777777" w:rsidTr="004F5547">
        <w:trPr>
          <w:cnfStyle w:val="100000000000" w:firstRow="1" w:lastRow="0" w:firstColumn="0" w:lastColumn="0" w:oddVBand="0" w:evenVBand="0" w:oddHBand="0" w:evenHBand="0" w:firstRowFirstColumn="0" w:firstRowLastColumn="0" w:lastRowFirstColumn="0" w:lastRowLastColumn="0"/>
          <w:tblHeader/>
          <w:jc w:val="center"/>
        </w:trPr>
        <w:tc>
          <w:tcPr>
            <w:tcW w:w="1699" w:type="dxa"/>
            <w:shd w:val="clear" w:color="auto" w:fill="404040"/>
            <w:tcMar>
              <w:top w:w="90" w:type="dxa"/>
              <w:left w:w="110" w:type="dxa"/>
              <w:bottom w:w="90" w:type="dxa"/>
              <w:right w:w="110" w:type="dxa"/>
            </w:tcMar>
            <w:vAlign w:val="center"/>
          </w:tcPr>
          <w:p w14:paraId="21B062EE" w14:textId="77777777" w:rsidR="004F5547" w:rsidRDefault="004F5547">
            <w:pPr>
              <w:pStyle w:val="Compact"/>
              <w:spacing w:before="0" w:after="0" w:line="245" w:lineRule="auto"/>
            </w:pPr>
          </w:p>
        </w:tc>
        <w:tc>
          <w:tcPr>
            <w:tcW w:w="7805" w:type="dxa"/>
            <w:shd w:val="clear" w:color="auto" w:fill="404040"/>
            <w:tcMar>
              <w:top w:w="90" w:type="dxa"/>
              <w:left w:w="110" w:type="dxa"/>
              <w:bottom w:w="90" w:type="dxa"/>
              <w:right w:w="110" w:type="dxa"/>
            </w:tcMar>
            <w:vAlign w:val="center"/>
          </w:tcPr>
          <w:p w14:paraId="06D001AE" w14:textId="77777777" w:rsidR="004F5547" w:rsidRDefault="00000000">
            <w:pPr>
              <w:pStyle w:val="Compact"/>
              <w:spacing w:before="0" w:after="0" w:line="245" w:lineRule="auto"/>
            </w:pPr>
            <w:r>
              <w:rPr>
                <w:rFonts w:cs="Times New Roman"/>
                <w:b/>
                <w:bCs/>
                <w:color w:val="FFFFFF"/>
                <w:sz w:val="18"/>
              </w:rPr>
              <w:t>OMB Federal Agency AI Use Case Inventories</w:t>
            </w:r>
          </w:p>
        </w:tc>
      </w:tr>
      <w:tr w:rsidR="004F5547" w14:paraId="308F877A" w14:textId="77777777">
        <w:trPr>
          <w:jc w:val="center"/>
        </w:trPr>
        <w:tc>
          <w:tcPr>
            <w:tcW w:w="1699" w:type="dxa"/>
            <w:shd w:val="clear" w:color="auto" w:fill="FFFFFF"/>
            <w:tcMar>
              <w:top w:w="90" w:type="dxa"/>
              <w:left w:w="110" w:type="dxa"/>
              <w:bottom w:w="90" w:type="dxa"/>
              <w:right w:w="110" w:type="dxa"/>
            </w:tcMar>
            <w:vAlign w:val="center"/>
          </w:tcPr>
          <w:p w14:paraId="64FC2E18" w14:textId="77777777" w:rsidR="004F5547" w:rsidRDefault="00000000">
            <w:pPr>
              <w:pStyle w:val="Compact"/>
              <w:spacing w:before="0" w:after="0" w:line="245" w:lineRule="auto"/>
            </w:pPr>
            <w:r>
              <w:rPr>
                <w:rFonts w:cs="Times New Roman"/>
                <w:b/>
                <w:sz w:val="17"/>
              </w:rPr>
              <w:t>Producer, URL</w:t>
            </w:r>
          </w:p>
        </w:tc>
        <w:tc>
          <w:tcPr>
            <w:tcW w:w="7805" w:type="dxa"/>
            <w:shd w:val="clear" w:color="auto" w:fill="FFFFFF"/>
            <w:tcMar>
              <w:top w:w="90" w:type="dxa"/>
              <w:left w:w="110" w:type="dxa"/>
              <w:bottom w:w="90" w:type="dxa"/>
              <w:right w:w="110" w:type="dxa"/>
            </w:tcMar>
            <w:vAlign w:val="center"/>
          </w:tcPr>
          <w:p w14:paraId="39814DB9" w14:textId="77777777" w:rsidR="004F5547" w:rsidRDefault="00000000">
            <w:pPr>
              <w:pStyle w:val="Compact"/>
              <w:spacing w:before="0" w:after="0" w:line="245" w:lineRule="auto"/>
            </w:pPr>
            <w:r>
              <w:rPr>
                <w:rFonts w:cs="Times New Roman"/>
                <w:sz w:val="17"/>
              </w:rPr>
              <w:t xml:space="preserve">Office of Management and Budget; </w:t>
            </w:r>
            <w:hyperlink r:id="rId7">
              <w:r w:rsidR="004F5547">
                <w:rPr>
                  <w:rStyle w:val="af"/>
                </w:rPr>
                <w:t>github.com/ombegov/2025-Federal-Agency-AI-Use-Case-Inventory</w:t>
              </w:r>
            </w:hyperlink>
            <w:r>
              <w:rPr>
                <w:rFonts w:cs="Times New Roman"/>
                <w:sz w:val="17"/>
              </w:rPr>
              <w:t xml:space="preserve"> and the 2024 repository</w:t>
            </w:r>
          </w:p>
        </w:tc>
      </w:tr>
      <w:tr w:rsidR="004F5547" w14:paraId="23193B78" w14:textId="77777777">
        <w:trPr>
          <w:jc w:val="center"/>
        </w:trPr>
        <w:tc>
          <w:tcPr>
            <w:tcW w:w="1699" w:type="dxa"/>
            <w:shd w:val="clear" w:color="auto" w:fill="F4F4F4"/>
            <w:tcMar>
              <w:top w:w="90" w:type="dxa"/>
              <w:left w:w="110" w:type="dxa"/>
              <w:bottom w:w="90" w:type="dxa"/>
              <w:right w:w="110" w:type="dxa"/>
            </w:tcMar>
            <w:vAlign w:val="center"/>
          </w:tcPr>
          <w:p w14:paraId="0D4D21EC" w14:textId="77777777" w:rsidR="004F5547" w:rsidRDefault="00000000">
            <w:pPr>
              <w:pStyle w:val="Compact"/>
              <w:spacing w:before="0" w:after="0" w:line="245" w:lineRule="auto"/>
            </w:pPr>
            <w:r>
              <w:rPr>
                <w:rFonts w:cs="Times New Roman"/>
                <w:b/>
                <w:sz w:val="17"/>
              </w:rPr>
              <w:t>Unit</w:t>
            </w:r>
          </w:p>
        </w:tc>
        <w:tc>
          <w:tcPr>
            <w:tcW w:w="7805" w:type="dxa"/>
            <w:shd w:val="clear" w:color="auto" w:fill="F4F4F4"/>
            <w:tcMar>
              <w:top w:w="90" w:type="dxa"/>
              <w:left w:w="110" w:type="dxa"/>
              <w:bottom w:w="90" w:type="dxa"/>
              <w:right w:w="110" w:type="dxa"/>
            </w:tcMar>
            <w:vAlign w:val="center"/>
          </w:tcPr>
          <w:p w14:paraId="631B22F7" w14:textId="77777777" w:rsidR="004F5547" w:rsidRDefault="00000000">
            <w:pPr>
              <w:pStyle w:val="Compact"/>
              <w:spacing w:before="0" w:after="0" w:line="245" w:lineRule="auto"/>
            </w:pPr>
            <w:r>
              <w:rPr>
                <w:rFonts w:cs="Times New Roman"/>
                <w:sz w:val="17"/>
              </w:rPr>
              <w:t>One AI use case reported by an agency.</w:t>
            </w:r>
          </w:p>
        </w:tc>
      </w:tr>
      <w:tr w:rsidR="004F5547" w14:paraId="09EBAC00" w14:textId="77777777">
        <w:trPr>
          <w:jc w:val="center"/>
        </w:trPr>
        <w:tc>
          <w:tcPr>
            <w:tcW w:w="1699" w:type="dxa"/>
            <w:shd w:val="clear" w:color="auto" w:fill="FFFFFF"/>
            <w:tcMar>
              <w:top w:w="90" w:type="dxa"/>
              <w:left w:w="110" w:type="dxa"/>
              <w:bottom w:w="90" w:type="dxa"/>
              <w:right w:w="110" w:type="dxa"/>
            </w:tcMar>
            <w:vAlign w:val="center"/>
          </w:tcPr>
          <w:p w14:paraId="1A0B26FD" w14:textId="77777777" w:rsidR="004F5547" w:rsidRDefault="00000000">
            <w:pPr>
              <w:pStyle w:val="Compact"/>
              <w:spacing w:before="0" w:after="0" w:line="245" w:lineRule="auto"/>
            </w:pPr>
            <w:r>
              <w:rPr>
                <w:rFonts w:cs="Times New Roman"/>
                <w:b/>
                <w:sz w:val="17"/>
              </w:rPr>
              <w:lastRenderedPageBreak/>
              <w:t>Coverage</w:t>
            </w:r>
          </w:p>
        </w:tc>
        <w:tc>
          <w:tcPr>
            <w:tcW w:w="7805" w:type="dxa"/>
            <w:shd w:val="clear" w:color="auto" w:fill="FFFFFF"/>
            <w:tcMar>
              <w:top w:w="90" w:type="dxa"/>
              <w:left w:w="110" w:type="dxa"/>
              <w:bottom w:w="90" w:type="dxa"/>
              <w:right w:w="110" w:type="dxa"/>
            </w:tcMar>
            <w:vAlign w:val="center"/>
          </w:tcPr>
          <w:p w14:paraId="38E37AD2" w14:textId="77777777" w:rsidR="004F5547" w:rsidRDefault="00000000">
            <w:pPr>
              <w:pStyle w:val="Compact"/>
              <w:spacing w:before="0" w:after="0" w:line="245" w:lineRule="auto"/>
            </w:pPr>
            <w:r>
              <w:rPr>
                <w:rFonts w:cs="Times New Roman"/>
                <w:sz w:val="17"/>
              </w:rPr>
              <w:t>Federal civilian agencies (Department of Defense and intelligence agencies not included); inventory years 2023, 2024, 2025.</w:t>
            </w:r>
          </w:p>
        </w:tc>
      </w:tr>
      <w:tr w:rsidR="004F5547" w14:paraId="4D811D89" w14:textId="77777777">
        <w:trPr>
          <w:jc w:val="center"/>
        </w:trPr>
        <w:tc>
          <w:tcPr>
            <w:tcW w:w="1699" w:type="dxa"/>
            <w:shd w:val="clear" w:color="auto" w:fill="F4F4F4"/>
            <w:tcMar>
              <w:top w:w="90" w:type="dxa"/>
              <w:left w:w="110" w:type="dxa"/>
              <w:bottom w:w="90" w:type="dxa"/>
              <w:right w:w="110" w:type="dxa"/>
            </w:tcMar>
            <w:vAlign w:val="center"/>
          </w:tcPr>
          <w:p w14:paraId="31322A15" w14:textId="77777777" w:rsidR="004F5547" w:rsidRDefault="00000000">
            <w:pPr>
              <w:pStyle w:val="Compact"/>
              <w:spacing w:before="0" w:after="0" w:line="245" w:lineRule="auto"/>
            </w:pPr>
            <w:r>
              <w:rPr>
                <w:rFonts w:cs="Times New Roman"/>
                <w:b/>
                <w:sz w:val="17"/>
              </w:rPr>
              <w:t>Size</w:t>
            </w:r>
          </w:p>
        </w:tc>
        <w:tc>
          <w:tcPr>
            <w:tcW w:w="7805" w:type="dxa"/>
            <w:shd w:val="clear" w:color="auto" w:fill="F4F4F4"/>
            <w:tcMar>
              <w:top w:w="90" w:type="dxa"/>
              <w:left w:w="110" w:type="dxa"/>
              <w:bottom w:w="90" w:type="dxa"/>
              <w:right w:w="110" w:type="dxa"/>
            </w:tcMar>
            <w:vAlign w:val="center"/>
          </w:tcPr>
          <w:p w14:paraId="6C85364D" w14:textId="77777777" w:rsidR="004F5547" w:rsidRDefault="00000000">
            <w:pPr>
              <w:pStyle w:val="Compact"/>
              <w:spacing w:before="0" w:after="0" w:line="245" w:lineRule="auto"/>
            </w:pPr>
            <w:r>
              <w:rPr>
                <w:rFonts w:cs="Times New Roman"/>
                <w:sz w:val="17"/>
              </w:rPr>
              <w:t>710 × 10 (2023); 2,133 × 62 (2024); 3,611 × 36 (2025), plus 900 records of commercial off-the-shelf products.</w:t>
            </w:r>
          </w:p>
        </w:tc>
      </w:tr>
      <w:tr w:rsidR="004F5547" w14:paraId="141F1994" w14:textId="77777777">
        <w:trPr>
          <w:jc w:val="center"/>
        </w:trPr>
        <w:tc>
          <w:tcPr>
            <w:tcW w:w="1699" w:type="dxa"/>
            <w:shd w:val="clear" w:color="auto" w:fill="FFFFFF"/>
            <w:tcMar>
              <w:top w:w="90" w:type="dxa"/>
              <w:left w:w="110" w:type="dxa"/>
              <w:bottom w:w="90" w:type="dxa"/>
              <w:right w:w="110" w:type="dxa"/>
            </w:tcMar>
            <w:vAlign w:val="center"/>
          </w:tcPr>
          <w:p w14:paraId="6D56EA75" w14:textId="77777777" w:rsidR="004F5547" w:rsidRDefault="00000000">
            <w:pPr>
              <w:pStyle w:val="Compact"/>
              <w:spacing w:before="0" w:after="0" w:line="245" w:lineRule="auto"/>
            </w:pPr>
            <w:r>
              <w:rPr>
                <w:rFonts w:cs="Times New Roman"/>
                <w:b/>
                <w:sz w:val="17"/>
              </w:rPr>
              <w:t>Key variables</w:t>
            </w:r>
          </w:p>
        </w:tc>
        <w:tc>
          <w:tcPr>
            <w:tcW w:w="7805" w:type="dxa"/>
            <w:shd w:val="clear" w:color="auto" w:fill="FFFFFF"/>
            <w:tcMar>
              <w:top w:w="90" w:type="dxa"/>
              <w:left w:w="110" w:type="dxa"/>
              <w:bottom w:w="90" w:type="dxa"/>
              <w:right w:w="110" w:type="dxa"/>
            </w:tcMar>
            <w:vAlign w:val="center"/>
          </w:tcPr>
          <w:p w14:paraId="3A6D749A" w14:textId="77777777" w:rsidR="004F5547" w:rsidRDefault="00000000">
            <w:pPr>
              <w:pStyle w:val="Compact"/>
              <w:spacing w:before="0" w:after="0" w:line="245" w:lineRule="auto"/>
            </w:pPr>
            <w:r>
              <w:rPr>
                <w:rStyle w:val="VerbatimChar"/>
                <w:rFonts w:ascii="Times New Roman" w:hAnsi="Times New Roman" w:cs="Times New Roman"/>
                <w:sz w:val="17"/>
              </w:rPr>
              <w:t>development_stage</w:t>
            </w:r>
            <w:r>
              <w:rPr>
                <w:rFonts w:cs="Times New Roman"/>
                <w:sz w:val="17"/>
              </w:rPr>
              <w:t xml:space="preserve"> (pre-deployment, pilot, deployed, retired): the lifecycle question. </w:t>
            </w:r>
            <w:r>
              <w:rPr>
                <w:rStyle w:val="VerbatimChar"/>
                <w:rFonts w:ascii="Times New Roman" w:hAnsi="Times New Roman" w:cs="Times New Roman"/>
                <w:sz w:val="17"/>
              </w:rPr>
              <w:t>contracting_usage</w:t>
            </w:r>
            <w:r>
              <w:rPr>
                <w:rFonts w:cs="Times New Roman"/>
                <w:sz w:val="17"/>
              </w:rPr>
              <w:t xml:space="preserve"> (vendor, in-house, or both) and </w:t>
            </w:r>
            <w:r>
              <w:rPr>
                <w:rStyle w:val="VerbatimChar"/>
                <w:rFonts w:ascii="Times New Roman" w:hAnsi="Times New Roman" w:cs="Times New Roman"/>
                <w:sz w:val="17"/>
              </w:rPr>
              <w:t>vendor_name</w:t>
            </w:r>
            <w:r>
              <w:rPr>
                <w:rFonts w:cs="Times New Roman"/>
                <w:sz w:val="17"/>
              </w:rPr>
              <w:t xml:space="preserve">: the make-or-buy question. </w:t>
            </w:r>
            <w:r>
              <w:rPr>
                <w:rStyle w:val="VerbatimChar"/>
                <w:rFonts w:ascii="Times New Roman" w:hAnsi="Times New Roman" w:cs="Times New Roman"/>
                <w:sz w:val="17"/>
              </w:rPr>
              <w:t>classification</w:t>
            </w:r>
            <w:r>
              <w:rPr>
                <w:rFonts w:cs="Times New Roman"/>
                <w:sz w:val="17"/>
              </w:rPr>
              <w:t xml:space="preserve"> (classical machine learning, generative AI, agentic AI, and others). </w:t>
            </w:r>
            <w:r>
              <w:rPr>
                <w:rStyle w:val="VerbatimChar"/>
                <w:rFonts w:ascii="Times New Roman" w:hAnsi="Times New Roman" w:cs="Times New Roman"/>
                <w:sz w:val="17"/>
              </w:rPr>
              <w:t>agency</w:t>
            </w:r>
            <w:r>
              <w:rPr>
                <w:rFonts w:cs="Times New Roman"/>
                <w:sz w:val="17"/>
              </w:rPr>
              <w:t xml:space="preserve">. </w:t>
            </w:r>
            <w:r>
              <w:rPr>
                <w:rStyle w:val="VerbatimChar"/>
                <w:rFonts w:ascii="Times New Roman" w:hAnsi="Times New Roman" w:cs="Times New Roman"/>
                <w:sz w:val="17"/>
              </w:rPr>
              <w:t>use_case_name</w:t>
            </w:r>
            <w:r>
              <w:rPr>
                <w:rFonts w:cs="Times New Roman"/>
                <w:sz w:val="17"/>
              </w:rPr>
              <w:t xml:space="preserve"> (the only way to link records across years).</w:t>
            </w:r>
          </w:p>
        </w:tc>
      </w:tr>
      <w:tr w:rsidR="004F5547" w14:paraId="6C59319C" w14:textId="77777777">
        <w:trPr>
          <w:jc w:val="center"/>
        </w:trPr>
        <w:tc>
          <w:tcPr>
            <w:tcW w:w="1699" w:type="dxa"/>
            <w:shd w:val="clear" w:color="auto" w:fill="F4F4F4"/>
            <w:tcMar>
              <w:top w:w="90" w:type="dxa"/>
              <w:left w:w="110" w:type="dxa"/>
              <w:bottom w:w="90" w:type="dxa"/>
              <w:right w:w="110" w:type="dxa"/>
            </w:tcMar>
            <w:vAlign w:val="center"/>
          </w:tcPr>
          <w:p w14:paraId="0825103F" w14:textId="77777777" w:rsidR="004F5547" w:rsidRDefault="00000000">
            <w:pPr>
              <w:pStyle w:val="Compact"/>
              <w:spacing w:before="0" w:after="0" w:line="245" w:lineRule="auto"/>
            </w:pPr>
            <w:r>
              <w:rPr>
                <w:rFonts w:cs="Times New Roman"/>
                <w:b/>
                <w:sz w:val="17"/>
              </w:rPr>
              <w:t>Limitations</w:t>
            </w:r>
          </w:p>
        </w:tc>
        <w:tc>
          <w:tcPr>
            <w:tcW w:w="7805" w:type="dxa"/>
            <w:shd w:val="clear" w:color="auto" w:fill="F4F4F4"/>
            <w:tcMar>
              <w:top w:w="90" w:type="dxa"/>
              <w:left w:w="110" w:type="dxa"/>
              <w:bottom w:w="90" w:type="dxa"/>
              <w:right w:w="110" w:type="dxa"/>
            </w:tcMar>
            <w:vAlign w:val="center"/>
          </w:tcPr>
          <w:p w14:paraId="10ECED53" w14:textId="77777777" w:rsidR="004F5547" w:rsidRDefault="00000000">
            <w:pPr>
              <w:pStyle w:val="Compact"/>
              <w:spacing w:before="0" w:after="0" w:line="245" w:lineRule="auto"/>
            </w:pPr>
            <w:r>
              <w:rPr>
                <w:rFonts w:cs="Times New Roman"/>
                <w:sz w:val="17"/>
              </w:rPr>
              <w:t xml:space="preserve">Self-reported, so counts reflect reporting practice as well as adoption (NASA went from 18 cases to 425). The schema changes every year, and there is no stable use case ID, so 2024 and 2025 records must be linked by name. </w:t>
            </w:r>
            <w:r>
              <w:rPr>
                <w:rStyle w:val="VerbatimChar"/>
                <w:rFonts w:ascii="Times New Roman" w:hAnsi="Times New Roman" w:cs="Times New Roman"/>
                <w:sz w:val="17"/>
              </w:rPr>
              <w:t>contracting_usage</w:t>
            </w:r>
            <w:r>
              <w:rPr>
                <w:rFonts w:cs="Times New Roman"/>
                <w:sz w:val="17"/>
              </w:rPr>
              <w:t xml:space="preserve"> is required only for pilot and deployed cases; within those, 36 of 1,480 are blank, including all of GSA’s. USAID reported 137 cases in 2024 and none in 2025 because the agency was dissolved.</w:t>
            </w:r>
          </w:p>
        </w:tc>
      </w:tr>
      <w:tr w:rsidR="004F5547" w14:paraId="4B2D04CF" w14:textId="77777777">
        <w:trPr>
          <w:jc w:val="center"/>
        </w:trPr>
        <w:tc>
          <w:tcPr>
            <w:tcW w:w="1699" w:type="dxa"/>
            <w:shd w:val="clear" w:color="auto" w:fill="FFFFFF"/>
            <w:tcMar>
              <w:top w:w="90" w:type="dxa"/>
              <w:left w:w="110" w:type="dxa"/>
              <w:bottom w:w="90" w:type="dxa"/>
              <w:right w:w="110" w:type="dxa"/>
            </w:tcMar>
            <w:vAlign w:val="center"/>
          </w:tcPr>
          <w:p w14:paraId="34D1312C" w14:textId="77777777" w:rsidR="004F5547" w:rsidRDefault="00000000">
            <w:pPr>
              <w:pStyle w:val="Compact"/>
              <w:spacing w:before="0" w:after="0" w:line="245" w:lineRule="auto"/>
            </w:pPr>
            <w:r>
              <w:rPr>
                <w:rFonts w:cs="Times New Roman"/>
                <w:b/>
                <w:sz w:val="17"/>
              </w:rPr>
              <w:t>Join</w:t>
            </w:r>
          </w:p>
        </w:tc>
        <w:tc>
          <w:tcPr>
            <w:tcW w:w="7805" w:type="dxa"/>
            <w:shd w:val="clear" w:color="auto" w:fill="FFFFFF"/>
            <w:tcMar>
              <w:top w:w="90" w:type="dxa"/>
              <w:left w:w="110" w:type="dxa"/>
              <w:bottom w:w="90" w:type="dxa"/>
              <w:right w:w="110" w:type="dxa"/>
            </w:tcMar>
            <w:vAlign w:val="center"/>
          </w:tcPr>
          <w:p w14:paraId="5858366E" w14:textId="77777777" w:rsidR="004F5547" w:rsidRDefault="00000000">
            <w:pPr>
              <w:pStyle w:val="Compact"/>
              <w:spacing w:before="0" w:after="0" w:line="245" w:lineRule="auto"/>
            </w:pPr>
            <w:r>
              <w:rPr>
                <w:rFonts w:cs="Times New Roman"/>
                <w:sz w:val="17"/>
              </w:rPr>
              <w:t xml:space="preserve">The 2024 and 2025 inventories are linked by use case name within agency; the match is saved as a join key, </w:t>
            </w:r>
            <w:r>
              <w:rPr>
                <w:rStyle w:val="VerbatimChar"/>
                <w:rFonts w:ascii="Times New Roman" w:hAnsi="Times New Roman" w:cs="Times New Roman"/>
                <w:sz w:val="17"/>
              </w:rPr>
              <w:t>data/keys/use_case_link_2024_2025.csv</w:t>
            </w:r>
            <w:r>
              <w:rPr>
                <w:rFonts w:cs="Times New Roman"/>
                <w:sz w:val="17"/>
              </w:rPr>
              <w:t>. The OMB data are not merged with OPM data.</w:t>
            </w:r>
          </w:p>
        </w:tc>
      </w:tr>
      <w:tr w:rsidR="004F5547" w14:paraId="672844A1" w14:textId="77777777">
        <w:trPr>
          <w:jc w:val="center"/>
        </w:trPr>
        <w:tc>
          <w:tcPr>
            <w:tcW w:w="1699" w:type="dxa"/>
            <w:shd w:val="clear" w:color="auto" w:fill="F4F4F4"/>
            <w:tcMar>
              <w:top w:w="90" w:type="dxa"/>
              <w:left w:w="110" w:type="dxa"/>
              <w:bottom w:w="90" w:type="dxa"/>
              <w:right w:w="110" w:type="dxa"/>
            </w:tcMar>
            <w:vAlign w:val="center"/>
          </w:tcPr>
          <w:p w14:paraId="191E53CA" w14:textId="77777777" w:rsidR="004F5547" w:rsidRDefault="00000000">
            <w:pPr>
              <w:pStyle w:val="Compact"/>
              <w:spacing w:before="0" w:after="0" w:line="245" w:lineRule="auto"/>
            </w:pPr>
            <w:r>
              <w:rPr>
                <w:rFonts w:cs="Times New Roman"/>
                <w:b/>
                <w:sz w:val="17"/>
              </w:rPr>
              <w:t>Access</w:t>
            </w:r>
          </w:p>
        </w:tc>
        <w:tc>
          <w:tcPr>
            <w:tcW w:w="7805" w:type="dxa"/>
            <w:shd w:val="clear" w:color="auto" w:fill="F4F4F4"/>
            <w:tcMar>
              <w:top w:w="90" w:type="dxa"/>
              <w:left w:w="110" w:type="dxa"/>
              <w:bottom w:w="90" w:type="dxa"/>
              <w:right w:w="110" w:type="dxa"/>
            </w:tcMar>
            <w:vAlign w:val="center"/>
          </w:tcPr>
          <w:p w14:paraId="3B813703" w14:textId="77777777" w:rsidR="004F5547" w:rsidRDefault="00000000">
            <w:pPr>
              <w:pStyle w:val="Compact"/>
              <w:spacing w:before="0" w:after="0" w:line="245" w:lineRule="auto"/>
            </w:pPr>
            <w:r>
              <w:rPr>
                <w:rFonts w:cs="Times New Roman"/>
                <w:sz w:val="17"/>
              </w:rPr>
              <w:t>Confirmed: CSVs, data dictionaries, and OMB’s standardization reports downloaded.</w:t>
            </w:r>
          </w:p>
        </w:tc>
      </w:tr>
    </w:tbl>
    <w:p w14:paraId="0EDDCCD4" w14:textId="77777777" w:rsidR="004F5547" w:rsidRDefault="00000000">
      <w:pPr>
        <w:pStyle w:val="a0"/>
      </w:pPr>
      <w:r>
        <w:rPr>
          <w:rFonts w:cs="Times New Roman"/>
        </w:rPr>
        <w:t xml:space="preserve"> </w:t>
      </w:r>
    </w:p>
    <w:p w14:paraId="6E07898D" w14:textId="77777777" w:rsidR="004F5547" w:rsidRDefault="00000000">
      <w:pPr>
        <w:pStyle w:val="TableCaption"/>
      </w:pPr>
      <w:r>
        <w:rPr>
          <w:rFonts w:cs="Times New Roman"/>
        </w:rPr>
        <w:t>Data viability, source 2</w:t>
      </w:r>
    </w:p>
    <w:tbl>
      <w:tblPr>
        <w:tblStyle w:val="Table"/>
        <w:tblW w:w="5000" w:type="pct"/>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020" w:firstRow="1" w:lastRow="0" w:firstColumn="0" w:lastColumn="0" w:noHBand="0" w:noVBand="0"/>
        <w:tblCaption w:val="Data viability, source 2"/>
      </w:tblPr>
      <w:tblGrid>
        <w:gridCol w:w="1748"/>
        <w:gridCol w:w="8028"/>
      </w:tblGrid>
      <w:tr w:rsidR="004F5547" w14:paraId="52A9D475" w14:textId="77777777" w:rsidTr="004F5547">
        <w:trPr>
          <w:cnfStyle w:val="100000000000" w:firstRow="1" w:lastRow="0" w:firstColumn="0" w:lastColumn="0" w:oddVBand="0" w:evenVBand="0" w:oddHBand="0" w:evenHBand="0" w:firstRowFirstColumn="0" w:firstRowLastColumn="0" w:lastRowFirstColumn="0" w:lastRowLastColumn="0"/>
          <w:tblHeader/>
          <w:jc w:val="center"/>
        </w:trPr>
        <w:tc>
          <w:tcPr>
            <w:tcW w:w="1699" w:type="dxa"/>
            <w:shd w:val="clear" w:color="auto" w:fill="404040"/>
            <w:tcMar>
              <w:top w:w="90" w:type="dxa"/>
              <w:left w:w="110" w:type="dxa"/>
              <w:bottom w:w="90" w:type="dxa"/>
              <w:right w:w="110" w:type="dxa"/>
            </w:tcMar>
            <w:vAlign w:val="center"/>
          </w:tcPr>
          <w:p w14:paraId="3234CA54" w14:textId="77777777" w:rsidR="004F5547" w:rsidRDefault="004F5547">
            <w:pPr>
              <w:pStyle w:val="Compact"/>
              <w:spacing w:before="0" w:after="0" w:line="245" w:lineRule="auto"/>
            </w:pPr>
          </w:p>
        </w:tc>
        <w:tc>
          <w:tcPr>
            <w:tcW w:w="7805" w:type="dxa"/>
            <w:shd w:val="clear" w:color="auto" w:fill="404040"/>
            <w:tcMar>
              <w:top w:w="90" w:type="dxa"/>
              <w:left w:w="110" w:type="dxa"/>
              <w:bottom w:w="90" w:type="dxa"/>
              <w:right w:w="110" w:type="dxa"/>
            </w:tcMar>
            <w:vAlign w:val="center"/>
          </w:tcPr>
          <w:p w14:paraId="2E42C5C5" w14:textId="77777777" w:rsidR="004F5547" w:rsidRDefault="00000000">
            <w:pPr>
              <w:pStyle w:val="Compact"/>
              <w:spacing w:before="0" w:after="0" w:line="245" w:lineRule="auto"/>
            </w:pPr>
            <w:r>
              <w:rPr>
                <w:rFonts w:cs="Times New Roman"/>
                <w:b/>
                <w:bCs/>
                <w:color w:val="FFFFFF"/>
                <w:sz w:val="18"/>
              </w:rPr>
              <w:t>OPM Federal Workforce Data (FWD)</w:t>
            </w:r>
          </w:p>
        </w:tc>
      </w:tr>
      <w:tr w:rsidR="004F5547" w14:paraId="6ED751FF" w14:textId="77777777">
        <w:trPr>
          <w:jc w:val="center"/>
        </w:trPr>
        <w:tc>
          <w:tcPr>
            <w:tcW w:w="1699" w:type="dxa"/>
            <w:shd w:val="clear" w:color="auto" w:fill="FFFFFF"/>
            <w:tcMar>
              <w:top w:w="90" w:type="dxa"/>
              <w:left w:w="110" w:type="dxa"/>
              <w:bottom w:w="90" w:type="dxa"/>
              <w:right w:w="110" w:type="dxa"/>
            </w:tcMar>
            <w:vAlign w:val="center"/>
          </w:tcPr>
          <w:p w14:paraId="584867B1" w14:textId="77777777" w:rsidR="004F5547" w:rsidRDefault="00000000">
            <w:pPr>
              <w:pStyle w:val="Compact"/>
              <w:spacing w:before="0" w:after="0" w:line="245" w:lineRule="auto"/>
            </w:pPr>
            <w:r>
              <w:rPr>
                <w:rFonts w:cs="Times New Roman"/>
                <w:b/>
                <w:sz w:val="17"/>
              </w:rPr>
              <w:t>Producer, URL</w:t>
            </w:r>
          </w:p>
        </w:tc>
        <w:tc>
          <w:tcPr>
            <w:tcW w:w="7805" w:type="dxa"/>
            <w:shd w:val="clear" w:color="auto" w:fill="FFFFFF"/>
            <w:tcMar>
              <w:top w:w="90" w:type="dxa"/>
              <w:left w:w="110" w:type="dxa"/>
              <w:bottom w:w="90" w:type="dxa"/>
              <w:right w:w="110" w:type="dxa"/>
            </w:tcMar>
            <w:vAlign w:val="center"/>
          </w:tcPr>
          <w:p w14:paraId="6CBECD4F" w14:textId="77777777" w:rsidR="004F5547" w:rsidRDefault="00000000">
            <w:pPr>
              <w:pStyle w:val="Compact"/>
              <w:spacing w:before="0" w:after="0" w:line="245" w:lineRule="auto"/>
            </w:pPr>
            <w:r>
              <w:rPr>
                <w:rFonts w:cs="Times New Roman"/>
                <w:sz w:val="17"/>
              </w:rPr>
              <w:t xml:space="preserve">U.S. Office of Personnel Management; </w:t>
            </w:r>
            <w:hyperlink r:id="rId8">
              <w:r w:rsidR="004F5547">
                <w:rPr>
                  <w:rStyle w:val="af"/>
                </w:rPr>
                <w:t>data.opm.gov/get-data/data-downloads</w:t>
              </w:r>
            </w:hyperlink>
            <w:r>
              <w:rPr>
                <w:rFonts w:cs="Times New Roman"/>
                <w:sz w:val="17"/>
              </w:rPr>
              <w:t xml:space="preserve"> (API: </w:t>
            </w:r>
            <w:r>
              <w:rPr>
                <w:rStyle w:val="VerbatimChar"/>
                <w:rFonts w:ascii="Times New Roman" w:hAnsi="Times New Roman" w:cs="Times New Roman"/>
                <w:sz w:val="17"/>
              </w:rPr>
              <w:t>data.opm.gov/api/v1/files</w:t>
            </w:r>
            <w:r>
              <w:rPr>
                <w:rFonts w:cs="Times New Roman"/>
                <w:sz w:val="17"/>
              </w:rPr>
              <w:t>)</w:t>
            </w:r>
          </w:p>
        </w:tc>
      </w:tr>
      <w:tr w:rsidR="004F5547" w14:paraId="30D5528D" w14:textId="77777777">
        <w:trPr>
          <w:jc w:val="center"/>
        </w:trPr>
        <w:tc>
          <w:tcPr>
            <w:tcW w:w="1699" w:type="dxa"/>
            <w:shd w:val="clear" w:color="auto" w:fill="F4F4F4"/>
            <w:tcMar>
              <w:top w:w="90" w:type="dxa"/>
              <w:left w:w="110" w:type="dxa"/>
              <w:bottom w:w="90" w:type="dxa"/>
              <w:right w:w="110" w:type="dxa"/>
            </w:tcMar>
            <w:vAlign w:val="center"/>
          </w:tcPr>
          <w:p w14:paraId="55719F0B" w14:textId="77777777" w:rsidR="004F5547" w:rsidRDefault="00000000">
            <w:pPr>
              <w:pStyle w:val="Compact"/>
              <w:spacing w:before="0" w:after="0" w:line="245" w:lineRule="auto"/>
            </w:pPr>
            <w:r>
              <w:rPr>
                <w:rFonts w:cs="Times New Roman"/>
                <w:b/>
                <w:sz w:val="17"/>
              </w:rPr>
              <w:t>Unit</w:t>
            </w:r>
          </w:p>
        </w:tc>
        <w:tc>
          <w:tcPr>
            <w:tcW w:w="7805" w:type="dxa"/>
            <w:shd w:val="clear" w:color="auto" w:fill="F4F4F4"/>
            <w:tcMar>
              <w:top w:w="90" w:type="dxa"/>
              <w:left w:w="110" w:type="dxa"/>
              <w:bottom w:w="90" w:type="dxa"/>
              <w:right w:w="110" w:type="dxa"/>
            </w:tcMar>
            <w:vAlign w:val="center"/>
          </w:tcPr>
          <w:p w14:paraId="02EF4922" w14:textId="77777777" w:rsidR="004F5547" w:rsidRDefault="00000000">
            <w:pPr>
              <w:pStyle w:val="Compact"/>
              <w:spacing w:before="0" w:after="0" w:line="245" w:lineRule="auto"/>
            </w:pPr>
            <w:r>
              <w:rPr>
                <w:rFonts w:cs="Times New Roman"/>
                <w:sz w:val="17"/>
              </w:rPr>
              <w:t>Employment: one employee on the last day of a month. Accessions and separations: one personnel action.</w:t>
            </w:r>
          </w:p>
        </w:tc>
      </w:tr>
      <w:tr w:rsidR="004F5547" w14:paraId="4F871CB4" w14:textId="77777777">
        <w:trPr>
          <w:jc w:val="center"/>
        </w:trPr>
        <w:tc>
          <w:tcPr>
            <w:tcW w:w="1699" w:type="dxa"/>
            <w:shd w:val="clear" w:color="auto" w:fill="FFFFFF"/>
            <w:tcMar>
              <w:top w:w="90" w:type="dxa"/>
              <w:left w:w="110" w:type="dxa"/>
              <w:bottom w:w="90" w:type="dxa"/>
              <w:right w:w="110" w:type="dxa"/>
            </w:tcMar>
            <w:vAlign w:val="center"/>
          </w:tcPr>
          <w:p w14:paraId="02CCC3B8" w14:textId="77777777" w:rsidR="004F5547" w:rsidRDefault="00000000">
            <w:pPr>
              <w:pStyle w:val="Compact"/>
              <w:spacing w:before="0" w:after="0" w:line="245" w:lineRule="auto"/>
            </w:pPr>
            <w:r>
              <w:rPr>
                <w:rFonts w:cs="Times New Roman"/>
                <w:b/>
                <w:sz w:val="17"/>
              </w:rPr>
              <w:t>Coverage</w:t>
            </w:r>
          </w:p>
        </w:tc>
        <w:tc>
          <w:tcPr>
            <w:tcW w:w="7805" w:type="dxa"/>
            <w:shd w:val="clear" w:color="auto" w:fill="FFFFFF"/>
            <w:tcMar>
              <w:top w:w="90" w:type="dxa"/>
              <w:left w:w="110" w:type="dxa"/>
              <w:bottom w:w="90" w:type="dxa"/>
              <w:right w:w="110" w:type="dxa"/>
            </w:tcMar>
            <w:vAlign w:val="center"/>
          </w:tcPr>
          <w:p w14:paraId="047D21D2" w14:textId="77777777" w:rsidR="004F5547" w:rsidRDefault="00000000">
            <w:pPr>
              <w:pStyle w:val="Compact"/>
              <w:spacing w:before="0" w:after="0" w:line="245" w:lineRule="auto"/>
            </w:pPr>
            <w:r>
              <w:rPr>
                <w:rFonts w:cs="Times New Roman"/>
                <w:sz w:val="17"/>
              </w:rPr>
              <w:t>Federal civilian executive branch, all states and overseas duty stations. Files back to 2005; downloaded January 2024 to July 2026.</w:t>
            </w:r>
          </w:p>
        </w:tc>
      </w:tr>
      <w:tr w:rsidR="004F5547" w14:paraId="69C3C29F" w14:textId="77777777">
        <w:trPr>
          <w:jc w:val="center"/>
        </w:trPr>
        <w:tc>
          <w:tcPr>
            <w:tcW w:w="1699" w:type="dxa"/>
            <w:shd w:val="clear" w:color="auto" w:fill="F4F4F4"/>
            <w:tcMar>
              <w:top w:w="90" w:type="dxa"/>
              <w:left w:w="110" w:type="dxa"/>
              <w:bottom w:w="90" w:type="dxa"/>
              <w:right w:w="110" w:type="dxa"/>
            </w:tcMar>
            <w:vAlign w:val="center"/>
          </w:tcPr>
          <w:p w14:paraId="0D6504B3" w14:textId="77777777" w:rsidR="004F5547" w:rsidRDefault="00000000">
            <w:pPr>
              <w:pStyle w:val="Compact"/>
              <w:spacing w:before="0" w:after="0" w:line="245" w:lineRule="auto"/>
            </w:pPr>
            <w:r>
              <w:rPr>
                <w:rFonts w:cs="Times New Roman"/>
                <w:b/>
                <w:sz w:val="17"/>
              </w:rPr>
              <w:t>Size</w:t>
            </w:r>
          </w:p>
        </w:tc>
        <w:tc>
          <w:tcPr>
            <w:tcW w:w="7805" w:type="dxa"/>
            <w:shd w:val="clear" w:color="auto" w:fill="F4F4F4"/>
            <w:tcMar>
              <w:top w:w="90" w:type="dxa"/>
              <w:left w:w="110" w:type="dxa"/>
              <w:bottom w:w="90" w:type="dxa"/>
              <w:right w:w="110" w:type="dxa"/>
            </w:tcMar>
            <w:vAlign w:val="center"/>
          </w:tcPr>
          <w:p w14:paraId="7771F4A8" w14:textId="77777777" w:rsidR="004F5547" w:rsidRDefault="00000000">
            <w:pPr>
              <w:pStyle w:val="Compact"/>
              <w:spacing w:before="0" w:after="0" w:line="245" w:lineRule="auto"/>
            </w:pPr>
            <w:r>
              <w:rPr>
                <w:rFonts w:cs="Times New Roman"/>
                <w:sz w:val="17"/>
              </w:rPr>
              <w:t>About 2.0–2.3 million rows × 64 columns per headcount snapshot; 31 monthly accession and 31 monthly separation files (69 columns).</w:t>
            </w:r>
          </w:p>
        </w:tc>
      </w:tr>
      <w:tr w:rsidR="004F5547" w14:paraId="23CA1A3C" w14:textId="77777777">
        <w:trPr>
          <w:jc w:val="center"/>
        </w:trPr>
        <w:tc>
          <w:tcPr>
            <w:tcW w:w="1699" w:type="dxa"/>
            <w:shd w:val="clear" w:color="auto" w:fill="FFFFFF"/>
            <w:tcMar>
              <w:top w:w="90" w:type="dxa"/>
              <w:left w:w="110" w:type="dxa"/>
              <w:bottom w:w="90" w:type="dxa"/>
              <w:right w:w="110" w:type="dxa"/>
            </w:tcMar>
            <w:vAlign w:val="center"/>
          </w:tcPr>
          <w:p w14:paraId="160E35B1" w14:textId="77777777" w:rsidR="004F5547" w:rsidRDefault="00000000">
            <w:pPr>
              <w:pStyle w:val="Compact"/>
              <w:spacing w:before="0" w:after="0" w:line="245" w:lineRule="auto"/>
            </w:pPr>
            <w:r>
              <w:rPr>
                <w:rFonts w:cs="Times New Roman"/>
                <w:b/>
                <w:sz w:val="17"/>
              </w:rPr>
              <w:t>Key variables</w:t>
            </w:r>
          </w:p>
        </w:tc>
        <w:tc>
          <w:tcPr>
            <w:tcW w:w="7805" w:type="dxa"/>
            <w:shd w:val="clear" w:color="auto" w:fill="FFFFFF"/>
            <w:tcMar>
              <w:top w:w="90" w:type="dxa"/>
              <w:left w:w="110" w:type="dxa"/>
              <w:bottom w:w="90" w:type="dxa"/>
              <w:right w:w="110" w:type="dxa"/>
            </w:tcMar>
            <w:vAlign w:val="center"/>
          </w:tcPr>
          <w:p w14:paraId="3A2E784E" w14:textId="77777777" w:rsidR="004F5547" w:rsidRDefault="00000000">
            <w:pPr>
              <w:pStyle w:val="Compact"/>
              <w:spacing w:before="0" w:after="0" w:line="245" w:lineRule="auto"/>
            </w:pPr>
            <w:r>
              <w:rPr>
                <w:rStyle w:val="VerbatimChar"/>
                <w:rFonts w:ascii="Times New Roman" w:hAnsi="Times New Roman" w:cs="Times New Roman"/>
                <w:sz w:val="17"/>
              </w:rPr>
              <w:t>occupational_series</w:t>
            </w:r>
            <w:r>
              <w:rPr>
                <w:rFonts w:cs="Times New Roman"/>
                <w:sz w:val="17"/>
              </w:rPr>
              <w:t xml:space="preserve"> (identifies data scientists, series 1560, and other technical occupations), </w:t>
            </w:r>
            <w:r>
              <w:rPr>
                <w:rStyle w:val="VerbatimChar"/>
                <w:rFonts w:ascii="Times New Roman" w:hAnsi="Times New Roman" w:cs="Times New Roman"/>
                <w:sz w:val="17"/>
              </w:rPr>
              <w:t>length_of_service_years</w:t>
            </w:r>
            <w:r>
              <w:rPr>
                <w:rFonts w:cs="Times New Roman"/>
                <w:sz w:val="17"/>
              </w:rPr>
              <w:t xml:space="preserve"> (how new the staff are), </w:t>
            </w:r>
            <w:r>
              <w:rPr>
                <w:rStyle w:val="VerbatimChar"/>
                <w:rFonts w:ascii="Times New Roman" w:hAnsi="Times New Roman" w:cs="Times New Roman"/>
                <w:sz w:val="17"/>
              </w:rPr>
              <w:t>separation_category</w:t>
            </w:r>
            <w:r>
              <w:rPr>
                <w:rFonts w:cs="Times New Roman"/>
                <w:sz w:val="17"/>
              </w:rPr>
              <w:t xml:space="preserve"> and </w:t>
            </w:r>
            <w:r>
              <w:rPr>
                <w:rStyle w:val="VerbatimChar"/>
                <w:rFonts w:ascii="Times New Roman" w:hAnsi="Times New Roman" w:cs="Times New Roman"/>
                <w:sz w:val="17"/>
              </w:rPr>
              <w:t>drp_indicator</w:t>
            </w:r>
            <w:r>
              <w:rPr>
                <w:rFonts w:cs="Times New Roman"/>
                <w:sz w:val="17"/>
              </w:rPr>
              <w:t xml:space="preserve"> (how people left, including the Deferred Resignation Program), </w:t>
            </w:r>
            <w:r>
              <w:rPr>
                <w:rStyle w:val="VerbatimChar"/>
                <w:rFonts w:ascii="Times New Roman" w:hAnsi="Times New Roman" w:cs="Times New Roman"/>
                <w:sz w:val="17"/>
              </w:rPr>
              <w:t>department_code</w:t>
            </w:r>
            <w:r>
              <w:rPr>
                <w:rFonts w:cs="Times New Roman"/>
                <w:sz w:val="17"/>
              </w:rPr>
              <w:t xml:space="preserve"> (which agency).</w:t>
            </w:r>
          </w:p>
        </w:tc>
      </w:tr>
      <w:tr w:rsidR="004F5547" w14:paraId="5D50D8FC" w14:textId="77777777">
        <w:trPr>
          <w:jc w:val="center"/>
        </w:trPr>
        <w:tc>
          <w:tcPr>
            <w:tcW w:w="1699" w:type="dxa"/>
            <w:shd w:val="clear" w:color="auto" w:fill="F4F4F4"/>
            <w:tcMar>
              <w:top w:w="90" w:type="dxa"/>
              <w:left w:w="110" w:type="dxa"/>
              <w:bottom w:w="90" w:type="dxa"/>
              <w:right w:w="110" w:type="dxa"/>
            </w:tcMar>
            <w:vAlign w:val="center"/>
          </w:tcPr>
          <w:p w14:paraId="1B5D37BB" w14:textId="77777777" w:rsidR="004F5547" w:rsidRDefault="00000000">
            <w:pPr>
              <w:pStyle w:val="Compact"/>
              <w:spacing w:before="0" w:after="0" w:line="245" w:lineRule="auto"/>
            </w:pPr>
            <w:r>
              <w:rPr>
                <w:rFonts w:cs="Times New Roman"/>
                <w:b/>
                <w:sz w:val="17"/>
              </w:rPr>
              <w:t>Limitations</w:t>
            </w:r>
          </w:p>
        </w:tc>
        <w:tc>
          <w:tcPr>
            <w:tcW w:w="7805" w:type="dxa"/>
            <w:shd w:val="clear" w:color="auto" w:fill="F4F4F4"/>
            <w:tcMar>
              <w:top w:w="90" w:type="dxa"/>
              <w:left w:w="110" w:type="dxa"/>
              <w:bottom w:w="90" w:type="dxa"/>
              <w:right w:w="110" w:type="dxa"/>
            </w:tcMar>
            <w:vAlign w:val="center"/>
          </w:tcPr>
          <w:p w14:paraId="622FC2CB" w14:textId="77777777" w:rsidR="004F5547" w:rsidRDefault="00000000">
            <w:pPr>
              <w:pStyle w:val="Compact"/>
              <w:spacing w:before="0" w:after="0" w:line="245" w:lineRule="auto"/>
            </w:pPr>
            <w:r>
              <w:rPr>
                <w:rFonts w:cs="Times New Roman"/>
                <w:sz w:val="17"/>
              </w:rPr>
              <w:t>Excludes USPS, intelligence agencies, TVA, and Federal Reserve Board staff. Several Department of Defense components did not submit June and July 2026 data, so the project excludes DoD throughout, which also matches OMB’s coverage. The data science series was created in 2021, so many data scientists still sit in other series. Monthly files are revised; the scripts keep only the current version.</w:t>
            </w:r>
          </w:p>
        </w:tc>
      </w:tr>
      <w:tr w:rsidR="004F5547" w14:paraId="0D1E5E46" w14:textId="77777777">
        <w:trPr>
          <w:jc w:val="center"/>
        </w:trPr>
        <w:tc>
          <w:tcPr>
            <w:tcW w:w="1699" w:type="dxa"/>
            <w:shd w:val="clear" w:color="auto" w:fill="FFFFFF"/>
            <w:tcMar>
              <w:top w:w="90" w:type="dxa"/>
              <w:left w:w="110" w:type="dxa"/>
              <w:bottom w:w="90" w:type="dxa"/>
              <w:right w:w="110" w:type="dxa"/>
            </w:tcMar>
            <w:vAlign w:val="center"/>
          </w:tcPr>
          <w:p w14:paraId="01A12354" w14:textId="77777777" w:rsidR="004F5547" w:rsidRDefault="00000000">
            <w:pPr>
              <w:pStyle w:val="Compact"/>
              <w:spacing w:before="0" w:after="0" w:line="245" w:lineRule="auto"/>
            </w:pPr>
            <w:r>
              <w:rPr>
                <w:rFonts w:cs="Times New Roman"/>
                <w:b/>
                <w:sz w:val="17"/>
              </w:rPr>
              <w:t>Join</w:t>
            </w:r>
          </w:p>
        </w:tc>
        <w:tc>
          <w:tcPr>
            <w:tcW w:w="7805" w:type="dxa"/>
            <w:shd w:val="clear" w:color="auto" w:fill="FFFFFF"/>
            <w:tcMar>
              <w:top w:w="90" w:type="dxa"/>
              <w:left w:w="110" w:type="dxa"/>
              <w:bottom w:w="90" w:type="dxa"/>
              <w:right w:w="110" w:type="dxa"/>
            </w:tcMar>
            <w:vAlign w:val="center"/>
          </w:tcPr>
          <w:p w14:paraId="1DD4F096" w14:textId="77777777" w:rsidR="004F5547" w:rsidRDefault="00000000">
            <w:pPr>
              <w:pStyle w:val="Compact"/>
              <w:spacing w:before="0" w:after="0" w:line="245" w:lineRule="auto"/>
            </w:pPr>
            <w:r>
              <w:rPr>
                <w:rFonts w:cs="Times New Roman"/>
                <w:sz w:val="17"/>
              </w:rPr>
              <w:t>None. OPM files are combined only with each other (headcount snapshots, hires, and exits), and are not merged with OMB data.</w:t>
            </w:r>
          </w:p>
        </w:tc>
      </w:tr>
      <w:tr w:rsidR="004F5547" w14:paraId="11009083" w14:textId="77777777">
        <w:trPr>
          <w:jc w:val="center"/>
        </w:trPr>
        <w:tc>
          <w:tcPr>
            <w:tcW w:w="1699" w:type="dxa"/>
            <w:shd w:val="clear" w:color="auto" w:fill="F4F4F4"/>
            <w:tcMar>
              <w:top w:w="90" w:type="dxa"/>
              <w:left w:w="110" w:type="dxa"/>
              <w:bottom w:w="90" w:type="dxa"/>
              <w:right w:w="110" w:type="dxa"/>
            </w:tcMar>
            <w:vAlign w:val="center"/>
          </w:tcPr>
          <w:p w14:paraId="61134FC0" w14:textId="77777777" w:rsidR="004F5547" w:rsidRDefault="00000000">
            <w:pPr>
              <w:pStyle w:val="Compact"/>
              <w:spacing w:before="0" w:after="0" w:line="245" w:lineRule="auto"/>
            </w:pPr>
            <w:r>
              <w:rPr>
                <w:rFonts w:cs="Times New Roman"/>
                <w:b/>
                <w:sz w:val="17"/>
              </w:rPr>
              <w:t>Access</w:t>
            </w:r>
          </w:p>
        </w:tc>
        <w:tc>
          <w:tcPr>
            <w:tcW w:w="7805" w:type="dxa"/>
            <w:shd w:val="clear" w:color="auto" w:fill="F4F4F4"/>
            <w:tcMar>
              <w:top w:w="90" w:type="dxa"/>
              <w:left w:w="110" w:type="dxa"/>
              <w:bottom w:w="90" w:type="dxa"/>
              <w:right w:w="110" w:type="dxa"/>
            </w:tcMar>
            <w:vAlign w:val="center"/>
          </w:tcPr>
          <w:p w14:paraId="3CE7504E" w14:textId="77777777" w:rsidR="004F5547" w:rsidRDefault="00000000">
            <w:pPr>
              <w:pStyle w:val="Compact"/>
              <w:spacing w:before="0" w:after="0" w:line="245" w:lineRule="auto"/>
            </w:pPr>
            <w:r>
              <w:rPr>
                <w:rFonts w:cs="Times New Roman"/>
                <w:sz w:val="17"/>
              </w:rPr>
              <w:t>Confirmed: 31 accession files, 31 separation files, and 5 headcount snapshots (Parquet, about 380 MB).</w:t>
            </w:r>
          </w:p>
        </w:tc>
      </w:tr>
    </w:tbl>
    <w:p w14:paraId="5DB4B2B3" w14:textId="77777777" w:rsidR="004F5547" w:rsidRDefault="00000000">
      <w:pPr>
        <w:pStyle w:val="a0"/>
      </w:pPr>
      <w:r>
        <w:rPr>
          <w:rFonts w:cs="Times New Roman"/>
        </w:rPr>
        <w:t>Fit matters more than size. The OMB inventory is the only systematic record of the AI federal agencies say they run, and it asks who built each system. OPM data record every hire and exit, so the technical workforce can be followed month by month. The two sources are used side by side and never merged: they measure different units, and an agency-level join would invite a causal reading the data cannot support.</w:t>
      </w:r>
    </w:p>
    <w:p w14:paraId="7838774F" w14:textId="77777777" w:rsidR="004F5547" w:rsidRDefault="00000000">
      <w:pPr>
        <w:pStyle w:val="2"/>
      </w:pPr>
      <w:bookmarkStart w:id="2" w:name="proof-of-concept-visualizations"/>
      <w:bookmarkEnd w:id="1"/>
      <w:r>
        <w:rPr>
          <w:rFonts w:ascii="Times New Roman" w:eastAsia="Times New Roman" w:hAnsi="Times New Roman" w:cs="Times New Roman"/>
        </w:rPr>
        <w:t>3. Proof-of-Concept Visualizations</w:t>
      </w:r>
    </w:p>
    <w:p w14:paraId="2945FC53" w14:textId="77777777" w:rsidR="004F5547" w:rsidRDefault="00000000">
      <w:pPr>
        <w:pStyle w:val="FirstParagraph"/>
      </w:pPr>
      <w:r>
        <w:rPr>
          <w:rFonts w:cs="Times New Roman"/>
        </w:rPr>
        <w:t xml:space="preserve">Each prototype tests one question with a different chart type. </w:t>
      </w:r>
      <w:r>
        <w:rPr>
          <w:rFonts w:cs="Times New Roman"/>
          <w:i/>
          <w:iCs/>
        </w:rPr>
        <w:t>These figures were exported directly from the submitted Tableau workbook (</w:t>
      </w:r>
      <w:r>
        <w:rPr>
          <w:rStyle w:val="VerbatimChar"/>
          <w:rFonts w:ascii="Times New Roman" w:hAnsi="Times New Roman" w:cs="Times New Roman"/>
          <w:i/>
          <w:iCs/>
        </w:rPr>
        <w:t>proposal/prototypes_tableau_native.twbx</w:t>
      </w:r>
      <w:r>
        <w:rPr>
          <w:rFonts w:cs="Times New Roman"/>
          <w:i/>
          <w:iCs/>
        </w:rPr>
        <w:t>).</w:t>
      </w:r>
    </w:p>
    <w:p w14:paraId="7CEDC1E8" w14:textId="77777777" w:rsidR="004F5547" w:rsidRDefault="00000000">
      <w:pPr>
        <w:pStyle w:val="a0"/>
        <w:keepNext/>
        <w:spacing w:before="100"/>
        <w:jc w:val="center"/>
      </w:pPr>
      <w:r>
        <w:drawing>
          <wp:inline xmlns:a="http://schemas.openxmlformats.org/drawingml/2006/main" xmlns:pic="http://schemas.openxmlformats.org/drawingml/2006/picture">
            <wp:extent cx="5989320" cy="4110964"/>
            <wp:docPr id="25" name="Picture 25" descr="100% stacked bars comparing vendor, mixed, and in-house development shares across all cases, AI types, and agencies." title="100% stacked bars comparing vendor, mixed, and in-house development shares across all cases, AI types, and agencies"/>
            <wp:cNvGraphicFramePr>
              <a:graphicFrameLocks noChangeAspect="1"/>
            </wp:cNvGraphicFramePr>
            <a:graphic>
              <a:graphicData uri="http://schemas.openxmlformats.org/drawingml/2006/picture">
                <pic:pic>
                  <pic:nvPicPr>
                    <pic:cNvPr id="0" name="prototype1_make_or_buy_tableau_final.png"/>
                    <pic:cNvPicPr/>
                  </pic:nvPicPr>
                  <pic:blipFill>
                    <a:blip r:embed="rId15"/>
                    <a:stretch>
                      <a:fillRect/>
                    </a:stretch>
                  </pic:blipFill>
                  <pic:spPr>
                    <a:xfrm>
                      <a:off x="0" y="0"/>
                      <a:ext cx="5989320" cy="4110964"/>
                    </a:xfrm>
                    <a:prstGeom prst="rect"/>
                  </pic:spPr>
                </pic:pic>
              </a:graphicData>
            </a:graphic>
          </wp:inline>
        </w:drawing>
      </w:r>
    </w:p>
    <w:p w14:paraId="4834E59B" w14:textId="77777777" w:rsidR="004F5547" w:rsidRDefault="00000000">
      <w:pPr>
        <w:pStyle w:val="a0"/>
        <w:keepLines/>
        <w:spacing w:after="160"/>
      </w:pPr>
      <w:r>
        <w:rPr>
          <w:rFonts w:cs="Times New Roman"/>
          <w:b/>
        </w:rPr>
        <w:t xml:space="preserve">Prototype 1 (100% stacked bar), question 1. </w:t>
      </w:r>
      <w:r>
        <w:rPr>
          <w:rFonts w:cs="Times New Roman"/>
        </w:rPr>
        <w:t>Among 1,444 pilot and deployed use cases, 38% were purchased from a vendor, 27% combined vendor and in-house work, and 35% were built in-house. The overall average hides sharp differences: the Department of Justice purchased 81% of its AI, while NASA built 87% of its AI in-house. The uncertainty is that the field records who developed a system, not who maintains it.</w:t>
      </w:r>
    </w:p>
    <w:p w14:paraId="30593C9B" w14:textId="77777777" w:rsidR="004F5547" w:rsidRDefault="00000000">
      <w:pPr>
        <w:pStyle w:val="a0"/>
        <w:keepNext/>
        <w:spacing w:before="100"/>
        <w:jc w:val="center"/>
      </w:pPr>
      <w:r>
        <w:drawing>
          <wp:inline xmlns:a="http://schemas.openxmlformats.org/drawingml/2006/main" xmlns:pic="http://schemas.openxmlformats.org/drawingml/2006/picture">
            <wp:extent cx="5989320" cy="4385182"/>
            <wp:docPr id="26" name="Picture 26" descr="Heatmap of 2025 federal AI use cases by agency and policy area; cell labels show counts and color shows each agency's portfolio share." title="Heatmap of 2025 federal AI use cases by agency and policy area; cell labels show counts and color shows each agency's portfolio share"/>
            <wp:cNvGraphicFramePr>
              <a:graphicFrameLocks noChangeAspect="1"/>
            </wp:cNvGraphicFramePr>
            <a:graphic>
              <a:graphicData uri="http://schemas.openxmlformats.org/drawingml/2006/picture">
                <pic:pic>
                  <pic:nvPicPr>
                    <pic:cNvPr id="0" name="prototype2_agency_topics_tableau_final.png"/>
                    <pic:cNvPicPr/>
                  </pic:nvPicPr>
                  <pic:blipFill>
                    <a:blip r:embed="rId16"/>
                    <a:stretch>
                      <a:fillRect/>
                    </a:stretch>
                  </pic:blipFill>
                  <pic:spPr>
                    <a:xfrm>
                      <a:off x="0" y="0"/>
                      <a:ext cx="5989320" cy="4385182"/>
                    </a:xfrm>
                    <a:prstGeom prst="rect"/>
                  </pic:spPr>
                </pic:pic>
              </a:graphicData>
            </a:graphic>
          </wp:inline>
        </w:drawing>
      </w:r>
    </w:p>
    <w:p w14:paraId="6A76E338" w14:textId="77777777" w:rsidR="004F5547" w:rsidRDefault="00000000">
      <w:pPr>
        <w:pStyle w:val="a0"/>
        <w:keepLines/>
        <w:spacing w:after="160"/>
      </w:pPr>
      <w:r>
        <w:rPr>
          <w:rFonts w:cs="Times New Roman"/>
          <w:b/>
        </w:rPr>
        <w:t xml:space="preserve">Prototype 2 (heatmap), question 2. </w:t>
      </w:r>
      <w:r>
        <w:rPr>
          <w:rFonts w:cs="Times New Roman"/>
        </w:rPr>
        <w:t>Most agencies concentrate their reported AI in one or two policy areas. NASA reported 387 of its 424 classified use cases in science; the Department of Justice reported 170 of 295 in law enforcement; and the Department of Veterans Affairs reported 166 of 295 in health and medical work. Cell labels show counts, while color shows the share of each agency's portfolio. The uncertainty is that agencies assign their own topic labels, and cases with missing topic information are excluded.</w:t>
      </w:r>
    </w:p>
    <w:p w14:paraId="6DF7BE2C" w14:textId="77777777" w:rsidR="004F5547" w:rsidRDefault="00000000">
      <w:pPr>
        <w:pStyle w:val="a0"/>
        <w:keepNext/>
        <w:spacing w:before="100"/>
        <w:jc w:val="center"/>
      </w:pPr>
      <w:r>
        <w:drawing>
          <wp:inline xmlns:a="http://schemas.openxmlformats.org/drawingml/2006/main" xmlns:pic="http://schemas.openxmlformats.org/drawingml/2006/picture">
            <wp:extent cx="5989320" cy="3413912"/>
            <wp:docPr id="27" name="Picture 27" descr="Dot plot ranking vendors by federal AI use cases; dot size indicates the number of agencies using each vendor." title="Dot plot ranking vendors by federal AI use cases; dot size indicates the number of agencies using each vendor"/>
            <wp:cNvGraphicFramePr>
              <a:graphicFrameLocks noChangeAspect="1"/>
            </wp:cNvGraphicFramePr>
            <a:graphic>
              <a:graphicData uri="http://schemas.openxmlformats.org/drawingml/2006/picture">
                <pic:pic>
                  <pic:nvPicPr>
                    <pic:cNvPr id="0" name="prototype3_vendor_concentration_tableau_final.png"/>
                    <pic:cNvPicPr/>
                  </pic:nvPicPr>
                  <pic:blipFill>
                    <a:blip r:embed="rId17"/>
                    <a:stretch>
                      <a:fillRect/>
                    </a:stretch>
                  </pic:blipFill>
                  <pic:spPr>
                    <a:xfrm>
                      <a:off x="0" y="0"/>
                      <a:ext cx="5989320" cy="3413912"/>
                    </a:xfrm>
                    <a:prstGeom prst="rect"/>
                  </pic:spPr>
                </pic:pic>
              </a:graphicData>
            </a:graphic>
          </wp:inline>
        </w:drawing>
      </w:r>
    </w:p>
    <w:p w14:paraId="54478E3A" w14:textId="77777777" w:rsidR="004F5547" w:rsidRDefault="00000000">
      <w:pPr>
        <w:pStyle w:val="a0"/>
        <w:keepLines/>
        <w:spacing w:after="160"/>
      </w:pPr>
      <w:r>
        <w:rPr>
          <w:rFonts w:cs="Times New Roman"/>
          <w:b/>
        </w:rPr>
        <w:t xml:space="preserve">Prototype 3 (dot plot), question 3. </w:t>
      </w:r>
      <w:r>
        <w:rPr>
          <w:rFonts w:cs="Times New Roman"/>
        </w:rPr>
        <w:t>Microsoft appears in 133 use cases across 21 agencies, far ahead of OpenAI at 35 use cases across 10 agencies and Google at 34 across 12 agencies. The chart shows both the number of use cases naming each firm and the number of agencies using it. The uncertainty is that vendor names are free text, a use case may name several firms, and the field is reported only for pilot and deployed cases with vendor involvement.</w:t>
      </w:r>
    </w:p>
    <w:p w14:paraId="582824A8" w14:textId="77777777" w:rsidR="004F5547" w:rsidRDefault="00000000">
      <w:pPr>
        <w:pStyle w:val="2"/>
      </w:pPr>
      <w:bookmarkStart w:id="3" w:name="semester-portfolio-plan"/>
      <w:bookmarkEnd w:id="2"/>
      <w:r>
        <w:rPr>
          <w:rFonts w:ascii="Times New Roman" w:eastAsia="Times New Roman" w:hAnsi="Times New Roman" w:cs="Times New Roman"/>
        </w:rPr>
        <w:t>4. Semester Portfolio Plan</w:t>
      </w:r>
    </w:p>
    <w:p w14:paraId="171315DA" w14:textId="77777777" w:rsidR="004F5547" w:rsidRDefault="00000000">
      <w:pPr>
        <w:pStyle w:val="FirstParagraph"/>
      </w:pPr>
      <w:r>
        <w:rPr>
          <w:rFonts w:cs="Times New Roman"/>
          <w:b/>
          <w:bCs/>
        </w:rPr>
        <w:t>Understanding the problem.</w:t>
      </w:r>
      <w:r>
        <w:rPr>
          <w:rFonts w:cs="Times New Roman"/>
        </w:rPr>
        <w:t xml:space="preserve"> Descriptive views establish what federal AI is, including the growth from 710 to 3,611 reported use cases and the mix of technologies, and the scale of the 2025 workforce reduction.</w:t>
      </w:r>
    </w:p>
    <w:p w14:paraId="523A1759" w14:textId="77777777" w:rsidR="004F5547" w:rsidRDefault="00000000">
      <w:pPr>
        <w:pStyle w:val="a0"/>
      </w:pPr>
      <w:r>
        <w:rPr>
          <w:rFonts w:cs="Times New Roman"/>
          <w:b/>
          <w:bCs/>
        </w:rPr>
        <w:t>Exploring the evidence.</w:t>
      </w:r>
      <w:r>
        <w:rPr>
          <w:rFonts w:cs="Times New Roman"/>
        </w:rPr>
        <w:t xml:space="preserve"> Relationship and change-over-time views extend the prototypes. Linking each 2024 use case to its 2025 record traces which pilots were deployed and which disappeared; a first pass suggests only one in seven 2024 pilots was reported as deployed. Monthly hires and exits for data scientists show the pipeline closing, and exit routes show that deferred resignation was the largest route out of every technical occupation. Further views cover vendor concentration and the age profile of IT staff.</w:t>
      </w:r>
    </w:p>
    <w:p w14:paraId="199E924B" w14:textId="77777777" w:rsidR="004F5547" w:rsidRDefault="00000000">
      <w:pPr>
        <w:pStyle w:val="a0"/>
      </w:pPr>
      <w:r>
        <w:rPr>
          <w:rFonts w:cs="Times New Roman"/>
          <w:b/>
          <w:bCs/>
        </w:rPr>
        <w:t>Considering implications.</w:t>
      </w:r>
      <w:r>
        <w:rPr>
          <w:rFonts w:cs="Times New Roman"/>
        </w:rPr>
        <w:t xml:space="preserve"> Read together, the evidence shows AI that is often bought, with many pilots that never reach deployment, alongside a technical workforce that stopped hiring and is older than the rest of government. The interactive product will have two views: an AI explorer that filters use cases by agency, stage, type of AI, and build strategy, and a workforce explorer that shows hires, exits, and headcount for each technical occupation.</w:t>
      </w:r>
    </w:p>
    <w:p w14:paraId="735EFC5E" w14:textId="77777777" w:rsidR="004F5547" w:rsidRDefault="00000000">
      <w:pPr>
        <w:pStyle w:val="a0"/>
      </w:pPr>
      <w:r>
        <w:rPr>
          <w:rFonts w:cs="Times New Roman"/>
        </w:rPr>
        <w:t>The design system stays fixed: orange for AI and vendors, blue for people and in-house work, gray for what is missing from the record. The central claim is disputable and testable: federal AI is limited less by how many tools agencies adopt than by whether the government has the people to carry them past the pilot.</w:t>
      </w:r>
    </w:p>
    <w:p w14:paraId="1E049A09" w14:textId="77777777" w:rsidR="004F5547" w:rsidRDefault="00000000">
      <w:pPr>
        <w:pStyle w:val="2"/>
        <w:keepNext w:val="0"/>
      </w:pPr>
      <w:bookmarkStart w:id="4" w:name="ai-use-and-verification"/>
      <w:bookmarkEnd w:id="3"/>
      <w:r>
        <w:rPr>
          <w:rFonts w:ascii="Times New Roman" w:eastAsia="Times New Roman" w:hAnsi="Times New Roman" w:cs="Times New Roman"/>
        </w:rPr>
        <w:t>5. AI Use and Verification</w:t>
      </w:r>
      <w:bookmarkEnd w:id="4"/>
    </w:p>
    <w:p w14:paraId="319616B9" w14:textId="7F62AF13" w:rsidR="00187385" w:rsidRDefault="00000000">
      <w:pPr>
        <w:pStyle w:val="FirstParagraph"/>
      </w:pPr>
      <w:r>
        <w:t>I used generative AI to help combine and clean files within each source, including standardizing field names, categories, and agency identifiers. During exploratory data analysis, I also used AI to suggest feasible visualization approaches for reference. I reviewed the data and selected and verified the final analyses and Tableau designs myself.</w:t>
      </w:r>
      <w:r w:rsidR="00622426">
        <w:rPr>
          <w:rFonts w:hint="eastAsia"/>
        </w:rPr>
      </w:r>
      <w:r w:rsidR="00622426"/>
      <w:r/>
    </w:p>
    <w:sectPr w:rsidR="00187385">
      <w:footerReference w:type="default" r:id="rId12"/>
      <w:footnotePr>
        <w:numRestart w:val="eachSect"/>
      </w:footnotePr>
      <w:pgSz w:w="12240" w:h="15840"/>
      <w:pgMar w:top="1123" w:right="1224" w:bottom="1037" w:left="1224" w:header="432" w:footer="46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7CEE130" w14:textId="77777777" w:rsidR="00F54FCD" w:rsidRDefault="00F54FCD">
      <w:pPr>
        <w:spacing w:after="0" w:line="240" w:lineRule="auto"/>
      </w:pPr>
      <w:r>
        <w:separator/>
      </w:r>
    </w:p>
  </w:endnote>
  <w:endnote w:type="continuationSeparator" w:id="0">
    <w:p w14:paraId="696D27DD" w14:textId="77777777" w:rsidR="00F54FCD" w:rsidRDefault="00F54F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923603" w14:textId="77777777" w:rsidR="00B71CBE" w:rsidRDefault="00000000">
    <w:pPr>
      <w:jc w:val="center"/>
    </w:pPr>
    <w:r>
      <w:rPr>
        <w:rFonts w:cs="Times New Roman"/>
        <w:color w:val="505050"/>
        <w:sz w:val="18"/>
      </w:rPr>
      <w:fldChar w:fldCharType="begin"/>
    </w:r>
    <w:r>
      <w:rPr>
        <w:rFonts w:cs="Times New Roman"/>
        <w:color w:val="505050"/>
        <w:sz w:val="18"/>
      </w:rPr>
      <w:instrText xml:space="preserve"> PAGE </w:instrText>
    </w:r>
    <w:r>
      <w:rPr>
        <w:rFonts w:cs="Times New Roman"/>
        <w:color w:val="505050"/>
        <w:sz w:val="18"/>
      </w:rPr>
      <w:fldChar w:fldCharType="separate"/>
    </w:r>
    <w:r>
      <w:rPr>
        <w:rFonts w:cs="Times New Roman"/>
        <w:color w:val="505050"/>
        <w:sz w:val="18"/>
      </w:rPr>
      <w:t>1</w:t>
    </w:r>
    <w:r>
      <w:rPr>
        <w:rFonts w:cs="Times New Roman"/>
        <w:color w:val="505050"/>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BF8DEBF" w14:textId="77777777" w:rsidR="00F54FCD" w:rsidRDefault="00F54FCD">
      <w:pPr>
        <w:spacing w:after="0" w:line="240" w:lineRule="auto"/>
      </w:pPr>
      <w:r>
        <w:separator/>
      </w:r>
    </w:p>
  </w:footnote>
  <w:footnote w:type="continuationSeparator" w:id="0">
    <w:p w14:paraId="12638889" w14:textId="77777777" w:rsidR="00F54FCD" w:rsidRDefault="00F54FC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2FECF0F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BC5490F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986083741">
    <w:abstractNumId w:val="0"/>
  </w:num>
  <w:num w:numId="2" w16cid:durableId="20043142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8"/>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5547"/>
    <w:rsid w:val="000E33DC"/>
    <w:rsid w:val="00187385"/>
    <w:rsid w:val="002D1362"/>
    <w:rsid w:val="00301490"/>
    <w:rsid w:val="004F5547"/>
    <w:rsid w:val="00622426"/>
    <w:rsid w:val="007D26A0"/>
    <w:rsid w:val="00823A5D"/>
    <w:rsid w:val="00B71CBE"/>
    <w:rsid w:val="00DE7BA1"/>
    <w:rsid w:val="00EC0EE2"/>
    <w:rsid w:val="00EE321C"/>
    <w:rsid w:val="00F54F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D70B54B"/>
  <w15:docId w15:val="{5BFB1969-A4CC-6F44-97D6-A5CAEFDC30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100" w:line="259" w:lineRule="auto"/>
    </w:pPr>
    <w:rPr>
      <w:rFonts w:ascii="Times New Roman" w:eastAsia="Times New Roman" w:hAnsi="Times New Roman"/>
      <w:color w:val="000000"/>
      <w:sz w:val="21"/>
    </w:rPr>
  </w:style>
  <w:style w:type="paragraph" w:styleId="1">
    <w:name w:val="heading 1"/>
    <w:basedOn w:val="a"/>
    <w:next w:val="a0"/>
    <w:link w:val="10"/>
    <w:uiPriority w:val="9"/>
    <w:qFormat/>
    <w:rsid w:val="00A10FD9"/>
    <w:pPr>
      <w:keepNext/>
      <w:keepLines/>
      <w:spacing w:before="260"/>
      <w:outlineLvl w:val="0"/>
    </w:pPr>
    <w:rPr>
      <w:rFonts w:asciiTheme="majorHAnsi" w:eastAsiaTheme="majorEastAsia" w:hAnsiTheme="majorHAnsi" w:cstheme="majorBidi"/>
      <w:b/>
      <w:sz w:val="32"/>
      <w:szCs w:val="40"/>
    </w:rPr>
  </w:style>
  <w:style w:type="paragraph" w:styleId="2">
    <w:name w:val="heading 2"/>
    <w:basedOn w:val="a"/>
    <w:next w:val="a0"/>
    <w:link w:val="20"/>
    <w:uiPriority w:val="9"/>
    <w:semiHidden/>
    <w:unhideWhenUsed/>
    <w:qFormat/>
    <w:rsid w:val="00A10FD9"/>
    <w:pPr>
      <w:keepNext/>
      <w:keepLines/>
      <w:spacing w:before="260"/>
      <w:outlineLvl w:val="1"/>
    </w:pPr>
    <w:rPr>
      <w:rFonts w:asciiTheme="majorHAnsi" w:eastAsiaTheme="majorEastAsia" w:hAnsiTheme="majorHAnsi" w:cstheme="majorBidi"/>
      <w:b/>
      <w:sz w:val="28"/>
      <w:szCs w:val="32"/>
    </w:rPr>
  </w:style>
  <w:style w:type="paragraph" w:styleId="3">
    <w:name w:val="heading 3"/>
    <w:basedOn w:val="a"/>
    <w:next w:val="a0"/>
    <w:link w:val="30"/>
    <w:uiPriority w:val="9"/>
    <w:semiHidden/>
    <w:unhideWhenUsed/>
    <w:qFormat/>
    <w:rsid w:val="00A10FD9"/>
    <w:pPr>
      <w:keepNext/>
      <w:keepLines/>
      <w:spacing w:before="180"/>
      <w:outlineLvl w:val="2"/>
    </w:pPr>
    <w:rPr>
      <w:rFonts w:eastAsiaTheme="majorEastAsia" w:cstheme="majorBidi"/>
      <w:b/>
      <w:sz w:val="24"/>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pPr>
  </w:style>
  <w:style w:type="paragraph" w:customStyle="1" w:styleId="FirstParagraph">
    <w:name w:val="First Paragraph"/>
    <w:basedOn w:val="a0"/>
    <w:next w:val="a0"/>
    <w:qFormat/>
  </w:style>
  <w:style w:type="paragraph" w:customStyle="1" w:styleId="Compact">
    <w:name w:val="Compact"/>
    <w:basedOn w:val="a0"/>
    <w:qFormat/>
    <w:pPr>
      <w:spacing w:before="36" w:after="40" w:line="252" w:lineRule="auto"/>
      <w:ind w:left="403" w:hanging="259"/>
    </w:pPr>
  </w:style>
  <w:style w:type="paragraph" w:styleId="a4">
    <w:name w:val="Title"/>
    <w:basedOn w:val="a"/>
    <w:next w:val="a0"/>
    <w:link w:val="a5"/>
    <w:uiPriority w:val="10"/>
    <w:qFormat/>
    <w:rsid w:val="00A10FD9"/>
    <w:pPr>
      <w:keepNext/>
      <w:spacing w:before="80" w:after="80"/>
      <w:contextualSpacing/>
      <w:jc w:val="center"/>
    </w:pPr>
    <w:rPr>
      <w:rFonts w:asciiTheme="majorHAnsi" w:eastAsiaTheme="majorEastAsia" w:hAnsiTheme="majorHAnsi" w:cstheme="majorBidi"/>
      <w:b/>
      <w:sz w:val="50"/>
      <w:szCs w:val="56"/>
    </w:rPr>
  </w:style>
  <w:style w:type="character" w:customStyle="1" w:styleId="a5">
    <w:name w:val="标题 字符"/>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spacing w:after="160"/>
    </w:pPr>
    <w:rPr>
      <w:rFonts w:ascii="Times New Roman" w:eastAsia="Times New Roman" w:hAnsi="Times New Roman"/>
      <w:b w:val="0"/>
      <w:spacing w:val="15"/>
      <w:sz w:val="24"/>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Lines/>
      <w:spacing w:after="20"/>
    </w:pPr>
    <w:rPr>
      <w:rFonts w:ascii="Times New Roman" w:eastAsia="Times New Roman" w:hAnsi="Times New Roman"/>
      <w:b w:val="0"/>
      <w:sz w:val="20"/>
      <w:szCs w:val="24"/>
    </w:rPr>
  </w:style>
  <w:style w:type="paragraph" w:styleId="a8">
    <w:name w:val="Date"/>
    <w:basedOn w:val="a4"/>
    <w:next w:val="a0"/>
    <w:qFormat/>
    <w:pPr>
      <w:keepNext w:val="0"/>
      <w:keepLines/>
      <w:spacing w:after="240"/>
    </w:pPr>
    <w:rPr>
      <w:rFonts w:ascii="Times New Roman" w:eastAsia="Times New Roman" w:hAnsi="Times New Roman"/>
      <w:b w:val="0"/>
      <w:sz w:val="20"/>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keepNext/>
      <w:spacing w:before="60"/>
    </w:pPr>
    <w:rPr>
      <w:i/>
      <w:sz w:val="18"/>
    </w:rPr>
  </w:style>
  <w:style w:type="paragraph" w:customStyle="1" w:styleId="TableCaption">
    <w:name w:val="Table Caption"/>
    <w:basedOn w:val="ac"/>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before="240"/>
      <w:outlineLvl w:val="9"/>
    </w:pPr>
  </w:style>
  <w:style w:type="paragraph" w:customStyle="1" w:styleId="SourceCode">
    <w:name w:val="Source Code"/>
    <w:basedOn w:val="a"/>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ta.opm.gov/get-data/data-downloads"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ombegov/2025-Federal-Agency-AI-Use-Case-Inventory"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theme" Target="theme/theme1.xml"/><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5</Pages>
  <Words>1424</Words>
  <Characters>8121</Characters>
  <Application>Microsoft Office Word</Application>
  <DocSecurity>0</DocSecurity>
  <Lines>67</Lines>
  <Paragraphs>19</Paragraphs>
  <ScaleCrop>false</ScaleCrop>
  <Company/>
  <LinksUpToDate>false</LinksUpToDate>
  <CharactersWithSpaces>9526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Who Builds Federal AI</dc:title>
  <dc:creator>Nora Zhan</dc:creator>
  <cp:keywords/>
  <cp:lastModifiedBy>Guo Zhan</cp:lastModifiedBy>
  <cp:revision>5</cp:revision>
  <dcterms:created xsi:type="dcterms:W3CDTF">2026-09-21T22:59:00Z</dcterms:created>
  <dcterms:modified xsi:type="dcterms:W3CDTF">2026-09-22T12:46:00Z</dcterms:modified>
</cp:coreProperties>
</file>