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</w:pPr>
      <w:r>
        <w:t>停车明细分析报告</w:t>
      </w:r>
    </w:p>
    <w:p>
      <w:r>
        <w:t>本期共 3674 笔交易，应收 105795.00 元、实收 57397.50 元，实收率 54.3%，主要支付方式为微信。实收率偏低主要源于 48285.00 元抵扣，抵扣与免费敞口需重点跟踪。</w:t>
      </w:r>
    </w:p>
    <w:p>
      <w:pPr>
        <w:pStyle w:val="3"/>
      </w:pPr>
      <w:r>
        <w:t>报告信息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7A8A92"/>
          <w:left w:val="single" w:sz="8" w:space="0" w:color="7A8A92"/>
          <w:bottom w:val="single" w:sz="8" w:space="0" w:color="7A8A92"/>
          <w:right w:val="single" w:sz="8" w:space="0" w:color="7A8A92"/>
          <w:insideH w:val="single" w:sz="8" w:space="0" w:color="7A8A92"/>
          <w:insideV w:val="single" w:sz="8" w:space="0" w:color="7A8A92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4680"/>
        <w:gridCol w:w="4680"/>
      </w:tblGrid>
      <w:tr>
        <w:tc>
          <w:tcPr>
            <w:tcW w:type="dxa" w:w="3168"/>
            <w:vAlign w:val="center"/>
            <w:shd w:fill="DCEADF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sz w:val="20"/>
              </w:rPr>
              <w:t>项目</w:t>
            </w:r>
          </w:p>
        </w:tc>
        <w:tc>
          <w:tcPr>
            <w:tcW w:type="dxa" w:w="5616"/>
            <w:vAlign w:val="center"/>
            <w:shd w:fill="DCEADF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数据周期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2026-04-01 至 2026-04-30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生成时间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2026-06-13 11:46:28</w:t>
            </w:r>
          </w:p>
        </w:tc>
      </w:tr>
    </w:tbl>
    <w:p/>
    <w:p>
      <w:pPr>
        <w:pStyle w:val="3"/>
      </w:pPr>
      <w:r>
        <w:t>一、关键指标（硬性数字）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7A8A92"/>
          <w:left w:val="single" w:sz="8" w:space="0" w:color="7A8A92"/>
          <w:bottom w:val="single" w:sz="8" w:space="0" w:color="7A8A92"/>
          <w:right w:val="single" w:sz="8" w:space="0" w:color="7A8A92"/>
          <w:insideH w:val="single" w:sz="8" w:space="0" w:color="7A8A92"/>
          <w:insideV w:val="single" w:sz="8" w:space="0" w:color="7A8A92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4680"/>
        <w:gridCol w:w="4680"/>
      </w:tblGrid>
      <w:tr>
        <w:tc>
          <w:tcPr>
            <w:tcW w:type="dxa" w:w="3168"/>
            <w:vAlign w:val="center"/>
            <w:shd w:fill="DCEADF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sz w:val="20"/>
              </w:rPr>
              <w:t>指标</w:t>
            </w:r>
          </w:p>
        </w:tc>
        <w:tc>
          <w:tcPr>
            <w:tcW w:type="dxa" w:w="5616"/>
            <w:vAlign w:val="center"/>
            <w:shd w:fill="DCEADF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sz w:val="20"/>
              </w:rPr>
              <w:t>结果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总交易笔数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3674 笔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应收总金额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105795.00 元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实收总金额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57397.50 元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实际抵扣总额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48285.00 元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实收率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54.3%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主要支付方式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微信（1435 笔）</w:t>
            </w:r>
          </w:p>
        </w:tc>
      </w:tr>
    </w:tbl>
    <w:p/>
    <w:p>
      <w:pPr>
        <w:pStyle w:val="3"/>
      </w:pPr>
      <w:r>
        <w:t>二、支付方式与渠道</w:t>
      </w:r>
    </w:p>
    <w:p>
      <w:pPr>
        <w:pStyle w:val="4"/>
      </w:pPr>
      <w:r>
        <w:t>支付渠道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7A8A92"/>
          <w:left w:val="single" w:sz="8" w:space="0" w:color="7A8A92"/>
          <w:bottom w:val="single" w:sz="8" w:space="0" w:color="7A8A92"/>
          <w:right w:val="single" w:sz="8" w:space="0" w:color="7A8A92"/>
          <w:insideH w:val="single" w:sz="8" w:space="0" w:color="7A8A92"/>
          <w:insideV w:val="single" w:sz="8" w:space="0" w:color="7A8A92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4680"/>
        <w:gridCol w:w="4680"/>
      </w:tblGrid>
      <w:tr>
        <w:tc>
          <w:tcPr>
            <w:tcW w:type="dxa" w:w="4320"/>
            <w:vAlign w:val="center"/>
            <w:shd w:fill="DCEADF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sz w:val="20"/>
              </w:rPr>
              <w:t>渠道</w:t>
            </w:r>
          </w:p>
        </w:tc>
        <w:tc>
          <w:tcPr>
            <w:tcW w:type="dxa" w:w="4464"/>
            <w:vAlign w:val="center"/>
            <w:shd w:fill="DCEADF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sz w:val="20"/>
              </w:rPr>
              <w:t>交易笔数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线上支付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3122 笔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出口贴码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544 笔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出口缴费机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5 笔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遥控放行登记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3 笔</w:t>
            </w:r>
          </w:p>
        </w:tc>
      </w:tr>
    </w:tbl>
    <w:p/>
    <w:p>
      <w:pPr>
        <w:pStyle w:val="4"/>
      </w:pPr>
      <w:r>
        <w:t>支付方式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7A8A92"/>
          <w:left w:val="single" w:sz="8" w:space="0" w:color="7A8A92"/>
          <w:bottom w:val="single" w:sz="8" w:space="0" w:color="7A8A92"/>
          <w:right w:val="single" w:sz="8" w:space="0" w:color="7A8A92"/>
          <w:insideH w:val="single" w:sz="8" w:space="0" w:color="7A8A92"/>
          <w:insideV w:val="single" w:sz="8" w:space="0" w:color="7A8A92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4680"/>
        <w:gridCol w:w="4680"/>
      </w:tblGrid>
      <w:tr>
        <w:tc>
          <w:tcPr>
            <w:tcW w:type="dxa" w:w="4320"/>
            <w:vAlign w:val="center"/>
            <w:shd w:fill="DCEADF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sz w:val="20"/>
              </w:rPr>
              <w:t>支付方式</w:t>
            </w:r>
          </w:p>
        </w:tc>
        <w:tc>
          <w:tcPr>
            <w:tcW w:type="dxa" w:w="4464"/>
            <w:vAlign w:val="center"/>
            <w:shd w:fill="DCEADF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sz w:val="20"/>
              </w:rPr>
              <w:t>交易笔数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微信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1435 笔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会员积分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1396 笔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优惠券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777 笔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支付宝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63 笔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现金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3 笔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17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payment-methods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3"/>
      </w:pPr>
      <w:r>
        <w:t>三、停车时长分析</w:t>
      </w:r>
    </w:p>
    <w:p>
      <w:r>
        <w:t>平均停车时长 3.27 小时，最长停车时长 165.45 小时。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7A8A92"/>
          <w:left w:val="single" w:sz="8" w:space="0" w:color="7A8A92"/>
          <w:bottom w:val="single" w:sz="8" w:space="0" w:color="7A8A92"/>
          <w:right w:val="single" w:sz="8" w:space="0" w:color="7A8A92"/>
          <w:insideH w:val="single" w:sz="8" w:space="0" w:color="7A8A92"/>
          <w:insideV w:val="single" w:sz="8" w:space="0" w:color="7A8A92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4680"/>
        <w:gridCol w:w="4680"/>
      </w:tblGrid>
      <w:tr>
        <w:tc>
          <w:tcPr>
            <w:tcW w:type="dxa" w:w="4320"/>
            <w:vAlign w:val="center"/>
            <w:shd w:fill="DCEADF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sz w:val="20"/>
              </w:rPr>
              <w:t>时长区间（小时）</w:t>
            </w:r>
          </w:p>
        </w:tc>
        <w:tc>
          <w:tcPr>
            <w:tcW w:type="dxa" w:w="4464"/>
            <w:vAlign w:val="center"/>
            <w:shd w:fill="DCEADF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sz w:val="20"/>
              </w:rPr>
              <w:t>交易笔数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0-2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1491 笔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2-4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1271 笔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4-6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573 笔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6-8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146 笔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8-10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80 笔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10-12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35 笔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12+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20"/>
              </w:rPr>
              <w:t>78 笔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175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duration-bin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175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entry-hou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175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charge-hou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3"/>
      </w:pPr>
      <w:r>
        <w:t>四、补充观察</w:t>
      </w:r>
    </w:p>
    <w:p>
      <w:r>
        <w:t>· 应收 105795.00 元、实收 57397.50 元，缺口 48397.50 元；其中实际抵扣 48285.00 元，占应收 45.6%，是实收率仅 54.3% 的主因，属于可量化的收入让利敞口。</w:t>
      </w:r>
    </w:p>
    <w:p>
      <w:r>
        <w:t>· 优惠类支付（会员积分 1396 笔、优惠券 777 笔）合计 2173 笔，占总交易 59.1%，免费 / 优惠敞口较大，需评估其对实收的拉低作用。</w:t>
      </w:r>
    </w:p>
    <w:p>
      <w:r>
        <w:t>· 停车超过 12 小时的记录 78 笔，最长 165.45 小时，存在长期占位或异常滞留，建议单独核查。</w:t>
      </w:r>
    </w:p>
    <w:p>
      <w:pPr>
        <w:pStyle w:val="3"/>
      </w:pPr>
      <w:r>
        <w:t>五、结论与建议</w:t>
      </w:r>
    </w:p>
    <w:p>
      <w:r>
        <w:t>1. 针对抵扣金额最大的支付方式（会员积分 / 优惠券）单列台账，按周复盘让利成本与回报。</w:t>
      </w:r>
    </w:p>
    <w:p>
      <w:r>
        <w:t>2. 对停车超过 12 小时的记录设置运营复核清单，减少异常占位和漏收风险。</w:t>
      </w:r>
    </w:p>
    <w:p>
      <w:r>
        <w:t>3. 将优惠券、会员积分的抵扣效果与复购、客流指标绑定，避免只看交易笔数。</w:t>
      </w:r>
    </w:p>
    <w:p>
      <w:r>
        <w:t>4. 建立应收—实收—抵扣的周度对账，把实收率作为核心经营指标持续监控。</w:t>
      </w:r>
    </w:p>
    <w:sectPr>
      <w:footerReference r:id="rId3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Noto Sans CJK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4DB903">
    <w:pPr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16C87F"/>
    <w:multiLevelType w:val="singleLevel"/>
    <w:tmpl w:val="C716C87F"/>
    <w:lvl w:ilvl="0" w:tentative="0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2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3C3FF69B"/>
    <w:rsid w:val="6C7FE47F"/>
    <w:rsid w:val="7BFF4B66"/>
    <w:rsid w:val="ED9DE433"/>
    <w:rsid w:val="F3FF4297"/>
    <w:rsid w:val="FB5C4FFA"/>
    <w:rsid w:val="FCBD5B8E"/>
    <w:rsid w:val="FFBB899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Noto Sans CJK SC" w:hAnsi="Noto Sans CJK SC" w:eastAsia="Noto Sans CJK SC" w:cs="Noto Sans CJK SC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Microsoft YaHei" w:cs="Noto Sans CJK SC"/>
      <w:sz w:val="21"/>
      <w:szCs w:val="22"/>
    </w:rPr>
  </w:style>
  <w:style w:type="paragraph" w:styleId="2">
    <w:name w:val="heading 1"/>
    <w:next w:val="1"/>
    <w:qFormat/>
    <w:uiPriority w:val="0"/>
    <w:pPr>
      <w:spacing w:before="280" w:after="160"/>
      <w:outlineLvl w:val="0"/>
    </w:pPr>
    <w:rPr>
      <w:rFonts w:ascii="Arial" w:hAnsi="Arial" w:eastAsia="Microsoft YaHei" w:cs="Noto Sans CJK SC"/>
      <w:b/>
      <w:bCs/>
      <w:color w:val="1F4E79"/>
      <w:sz w:val="30"/>
      <w:szCs w:val="30"/>
    </w:rPr>
  </w:style>
  <w:style w:type="paragraph" w:styleId="3">
    <w:name w:val="heading 2"/>
    <w:next w:val="1"/>
    <w:qFormat/>
    <w:uiPriority w:val="0"/>
    <w:pPr>
      <w:spacing w:before="200" w:after="120"/>
      <w:outlineLvl w:val="1"/>
    </w:pPr>
    <w:rPr>
      <w:rFonts w:ascii="Arial" w:hAnsi="Arial" w:eastAsia="Microsoft YaHei" w:cs="Noto Sans CJK SC"/>
      <w:b/>
      <w:bCs/>
      <w:color w:val="2E5E8C"/>
      <w:sz w:val="25"/>
      <w:szCs w:val="25"/>
    </w:rPr>
  </w:style>
  <w:style w:type="paragraph" w:styleId="4">
    <w:name w:val="heading 3"/>
    <w:next w:val="1"/>
    <w:qFormat/>
    <w:uiPriority w:val="0"/>
    <w:rPr>
      <w:rFonts w:ascii="Arial" w:hAnsi="Arial" w:eastAsia="Microsoft YaHei" w:cs="Noto Sans CJK SC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Noto Sans CJK SC" w:hAnsi="Noto Sans CJK SC" w:eastAsia="Noto Sans CJK SC" w:cs="Noto Sans CJK SC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Noto Sans CJK SC" w:hAnsi="Noto Sans CJK SC" w:eastAsia="Noto Sans CJK SC" w:cs="Noto Sans CJK SC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Noto Sans CJK SC" w:hAnsi="Noto Sans CJK SC" w:eastAsia="Noto Sans CJK SC" w:cs="Noto Sans CJK SC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Noto Sans CJK SC" w:hAnsi="Noto Sans CJK SC" w:eastAsia="Noto Sans CJK SC" w:cs="Noto Sans CJK SC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Noto Sans CJK SC" w:hAnsi="Noto Sans CJK SC" w:eastAsia="Noto Sans CJK SC" w:cs="Noto Sans CJK SC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Noto Sans CJK SC" w:hAnsi="Noto Sans CJK SC" w:eastAsia="Noto Sans CJK SC" w:cs="Noto Sans CJK SC"/>
      <w:sz w:val="56"/>
      <w:szCs w:val="56"/>
    </w:rPr>
  </w:style>
  <w:style w:type="paragraph" w:styleId="16">
    <w:name w:val="List Paragraph"/>
    <w:qFormat/>
    <w:uiPriority w:val="0"/>
    <w:rPr>
      <w:rFonts w:ascii="Noto Sans CJK SC" w:hAnsi="Noto Sans CJK SC" w:eastAsia="Noto Sans CJK SC" w:cs="Noto Sans CJK SC"/>
      <w:sz w:val="22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4</TotalTime>
  <ScaleCrop>false</ScaleCrop>
  <LinksUpToDate>false</LinksUpToDate>
  <Application>WPS Office_12.1.25897.25897_F1E327BC-269C-435d-A152-05C5408002CA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2026-06-05T13:12:02Z</dcterms:created>
  <dc:creator>Un-named</dc:creator>
  <cp:lastModifiedBy>Frank Gu</cp:lastModifiedBy>
  <dcterms:modified xsi:type="dcterms:W3CDTF">2026-06-05T13:19:34Z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1033-12.1.25897.25897</vt:lpwstr>
  </property>
  <property fmtid="{D5CDD505-2E9C-101B-9397-08002B2CF9AE}" pid="3" name="ICV">
    <vt:lpwstr>10B37E011DFA28256BCE216A3A7A9FFD_42</vt:lpwstr>
  </property>
</Properties>
</file>