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EF37">
      <w:pPr>
        <w:spacing w:after="60"/>
        <w:jc w:val="center"/>
      </w:pPr>
      <w:r>
        <w:rPr>
          <w:b/>
          <w:bCs/>
          <w:color w:val="1F4E79"/>
          <w:sz w:val="24"/>
          <w:szCs w:val="24"/>
        </w:rPr>
        <w:t>Knowledge Stack</w:t>
      </w:r>
    </w:p>
    <w:p w14:paraId="4E75DCCF">
      <w:pPr>
        <w:spacing w:after="40"/>
        <w:jc w:val="center"/>
      </w:pPr>
      <w:r>
        <w:rPr>
          <w:b/>
          <w:bCs/>
          <w:color w:val="000000"/>
          <w:sz w:val="40"/>
          <w:szCs w:val="40"/>
        </w:rPr>
        <w:t>Take-Home Assignment</w:t>
      </w:r>
    </w:p>
    <w:p w14:paraId="1AA4C426">
      <w:pPr>
        <w:spacing w:after="200"/>
        <w:jc w:val="center"/>
      </w:pPr>
      <w:r>
        <w:rPr>
          <w:color w:val="595959"/>
          <w:sz w:val="24"/>
          <w:szCs w:val="24"/>
        </w:rPr>
        <w:t>Python / Agentic Engineer — Agentic Report Generation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464BC8">
        <w:tc>
          <w:tcPr>
            <w:tcW w:w="9360" w:type="dxa"/>
            <w:tcBorders>
              <w:top w:val="single" w:color="CCCCCC" w:sz="0" w:space="0"/>
              <w:left w:val="single" w:color="1F4E79" w:sz="18" w:space="0"/>
              <w:bottom w:val="single" w:color="CCCCCC" w:sz="0" w:space="0"/>
              <w:right w:val="single" w:color="CCCCCC" w:sz="0" w:space="0"/>
            </w:tcBorders>
            <w:shd w:val="clear" w:color="auto" w:fill="EAF1F8"/>
            <w:tcMar>
              <w:top w:w="120" w:type="dxa"/>
              <w:left w:w="200" w:type="dxa"/>
              <w:bottom w:w="120" w:type="dxa"/>
              <w:right w:w="160" w:type="dxa"/>
            </w:tcMar>
          </w:tcPr>
          <w:p w14:paraId="3E059C34">
            <w:r>
              <w:rPr>
                <w:b/>
                <w:bCs/>
                <w:color w:val="1F4E79"/>
              </w:rPr>
              <w:t>Expected effort: ~6 hours. Please do NOT gold-plate. We would rather see well-scoped work than a half-finished or overengineered platform.</w:t>
            </w:r>
          </w:p>
        </w:tc>
      </w:tr>
    </w:tbl>
    <w:p w14:paraId="3BD63024">
      <w:pPr>
        <w:pStyle w:val="2"/>
      </w:pPr>
      <w:r>
        <w:t>1. Background &amp; Context</w:t>
      </w:r>
    </w:p>
    <w:p w14:paraId="2301B1EB">
      <w:pPr>
        <w:spacing w:after="120"/>
      </w:pPr>
      <w:r>
        <w:t>You are joining Knowledge Stack as a Python Backend/Agent engineer. A client in the parking-management industry needs to turn raw transaction exports into a polished, manager-ready analytical report on a recurring basis. Today this is done manually and inconsistently.</w:t>
      </w:r>
    </w:p>
    <w:p w14:paraId="131339DF">
      <w:pPr>
        <w:spacing w:after="120"/>
      </w:pPr>
      <w:r>
        <w:t>Your task is to build an agentic system that ingests parking payment data and produces a 停车明细分析报告 (Parking Detail Analysis Report) as a downloadable Word document. The report combines a fixed, specification-driven set of metrics with an agent-authored analytical section.</w:t>
      </w:r>
    </w:p>
    <w:p w14:paraId="639FEE03">
      <w:pPr>
        <w:spacing w:after="120"/>
      </w:pPr>
      <w:r>
        <w:t>This exercise is primarily about your agentic engineering judgement: how you separate deterministic computation from LLM reasoning, how you keep the agent grounded, and how you instrument it. The infrastructure around it is intentionally kept lightweight.</w:t>
      </w:r>
    </w:p>
    <w:p w14:paraId="097AC64E">
      <w:pPr>
        <w:pStyle w:val="2"/>
      </w:pPr>
      <w:r>
        <w:t>2. The Task</w:t>
      </w:r>
    </w:p>
    <w:p w14:paraId="46165050">
      <w:pPr>
        <w:spacing w:after="120"/>
      </w:pPr>
      <w:r>
        <w:t>Build a small agentic system supporting the lifecycle: upload → asynchronous generation → status check → download.</w:t>
      </w:r>
    </w:p>
    <w:p w14:paraId="6113ECD2">
      <w:pPr>
        <w:pStyle w:val="3"/>
      </w:pPr>
      <w:r>
        <w:t>2.1 Frontend (keep it minimal)</w:t>
      </w:r>
    </w:p>
    <w:p w14:paraId="5471135F">
      <w:pPr>
        <w:pStyle w:val="16"/>
        <w:numPr>
          <w:ilvl w:val="0"/>
          <w:numId w:val="1"/>
        </w:numPr>
        <w:spacing w:after="60"/>
      </w:pPr>
      <w:r>
        <w:t>Allow the user to upload context files: provided docx template + data.csv</w:t>
      </w:r>
    </w:p>
    <w:p w14:paraId="1101109C">
      <w:pPr>
        <w:pStyle w:val="16"/>
        <w:numPr>
          <w:ilvl w:val="0"/>
          <w:numId w:val="1"/>
        </w:numPr>
        <w:spacing w:after="60"/>
      </w:pPr>
      <w:r>
        <w:t>(Optional) A free-text field for processing instructions to steer the agent; often useful for debugging without changing code.</w:t>
      </w:r>
    </w:p>
    <w:p w14:paraId="70E6F621">
      <w:pPr>
        <w:pStyle w:val="16"/>
        <w:numPr>
          <w:ilvl w:val="0"/>
          <w:numId w:val="1"/>
        </w:numPr>
        <w:spacing w:after="60"/>
      </w:pPr>
      <w:r>
        <w:t>After submission, the page must show task state. A refresh must correctly show in-progress vs. completed/failed.</w:t>
      </w:r>
    </w:p>
    <w:p w14:paraId="677D3870">
      <w:pPr>
        <w:pStyle w:val="16"/>
        <w:numPr>
          <w:ilvl w:val="0"/>
          <w:numId w:val="1"/>
        </w:numPr>
        <w:spacing w:after="60"/>
      </w:pPr>
      <w:r>
        <w:t>On completion, expose a "Download" action returning the generated .docx.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D050BF">
        <w:tc>
          <w:tcPr>
            <w:tcW w:w="9360" w:type="dxa"/>
            <w:tcBorders>
              <w:top w:val="single" w:color="CCCCCC" w:sz="0" w:space="0"/>
              <w:left w:val="single" w:color="1F4E79" w:sz="18" w:space="0"/>
              <w:bottom w:val="single" w:color="CCCCCC" w:sz="0" w:space="0"/>
              <w:right w:val="single" w:color="CCCCCC" w:sz="0" w:space="0"/>
            </w:tcBorders>
            <w:shd w:val="clear" w:color="auto" w:fill="EAF1F8"/>
            <w:tcMar>
              <w:top w:w="120" w:type="dxa"/>
              <w:left w:w="200" w:type="dxa"/>
              <w:bottom w:w="120" w:type="dxa"/>
              <w:right w:w="160" w:type="dxa"/>
            </w:tcMar>
          </w:tcPr>
          <w:p w14:paraId="49EB029E">
            <w:r>
              <w:rPr>
                <w:b/>
                <w:bCs/>
                <w:color w:val="1F4E79"/>
              </w:rPr>
              <w:t>A single page with an upload form, a status indicator, and a download link is sufficient. UI polish is NOT evaluated.</w:t>
            </w:r>
          </w:p>
        </w:tc>
      </w:tr>
    </w:tbl>
    <w:p w14:paraId="6DB6980F">
      <w:pPr>
        <w:pStyle w:val="3"/>
      </w:pPr>
      <w:r>
        <w:t>2.2 Asynchronous Execution (lightweight)</w:t>
      </w:r>
    </w:p>
    <w:p w14:paraId="10F46E24">
      <w:pPr>
        <w:pStyle w:val="16"/>
        <w:numPr>
          <w:ilvl w:val="0"/>
          <w:numId w:val="2"/>
        </w:numPr>
        <w:spacing w:after="60"/>
      </w:pPr>
      <w:r>
        <w:t xml:space="preserve">Generation must not block the submitting HTTP request. </w:t>
      </w:r>
    </w:p>
    <w:p w14:paraId="0C3203C5">
      <w:pPr>
        <w:pStyle w:val="16"/>
        <w:numPr>
          <w:ilvl w:val="0"/>
          <w:numId w:val="2"/>
        </w:numPr>
        <w:spacing w:after="60"/>
      </w:pPr>
      <w:r>
        <w:t>Structure the job so retry would be easy to add (idempotent, persisted state). You do NOT need to implement retry; be ready to discuss your design choice.</w:t>
      </w:r>
    </w:p>
    <w:p w14:paraId="75C741E1">
      <w:pPr>
        <w:pStyle w:val="3"/>
      </w:pPr>
      <w:r>
        <w:t>2.3 The Agent (the core of the exercise)</w:t>
      </w:r>
    </w:p>
    <w:p w14:paraId="7837401C">
      <w:pPr>
        <w:pStyle w:val="16"/>
        <w:numPr>
          <w:ilvl w:val="0"/>
          <w:numId w:val="2"/>
        </w:numPr>
        <w:spacing w:after="60"/>
      </w:pPr>
      <w:r>
        <w:t>An agent must orchestrate the output generation. This means the agent should make non-trivial decisions about report content</w:t>
      </w:r>
      <w:r>
        <w:rPr>
          <w:rFonts w:hint="default"/>
          <w:lang w:val="en-US"/>
        </w:rPr>
        <w:t xml:space="preserve">; </w:t>
      </w:r>
      <w:bookmarkStart w:id="0" w:name="_GoBack"/>
      <w:r>
        <w:rPr>
          <w:rFonts w:hint="default" w:ascii="Arial Bold" w:hAnsi="Arial Bold" w:cs="Arial Bold"/>
          <w:b/>
          <w:bCs/>
        </w:rPr>
        <w:t>not merely fill a template with pre-computed values and make a single LLM call for the observations section</w:t>
      </w:r>
      <w:bookmarkEnd w:id="0"/>
      <w:r>
        <w:t>.</w:t>
      </w:r>
    </w:p>
    <w:p w14:paraId="7AA3573F">
      <w:pPr>
        <w:pStyle w:val="16"/>
        <w:numPr>
          <w:ilvl w:val="0"/>
          <w:numId w:val="2"/>
        </w:numPr>
        <w:spacing w:after="60"/>
      </w:pPr>
      <w:r>
        <w:t>The agent should be responsible for reasoning over the data and deciding what content belongs in the report. At minimum this covers the Supplementary Observations, but we expect the agent to also play a meaningful role in how the deterministic metrics are contextualized or presented.</w:t>
      </w:r>
    </w:p>
    <w:p w14:paraId="11AB5DC7">
      <w:pPr>
        <w:pStyle w:val="16"/>
        <w:numPr>
          <w:ilvl w:val="0"/>
          <w:numId w:val="2"/>
        </w:numPr>
        <w:spacing w:after="60"/>
      </w:pPr>
      <w:r>
        <w:t>The agent framework, design patterns, and tool belt choice are deferred to the candidate. A short pipeline with decision points is acceptable; a single undifferentiated LLM call that just produces text is not. Be ready to discuss your design choice.</w:t>
      </w:r>
    </w:p>
    <w:p w14:paraId="763957D5">
      <w:pPr>
        <w:pStyle w:val="16"/>
        <w:numPr>
          <w:ilvl w:val="0"/>
          <w:numId w:val="2"/>
        </w:numPr>
        <w:spacing w:after="60"/>
      </w:pPr>
      <w:r>
        <w:t>You may edit the output template's content, as long as you retain the key sections. We see some candidates prefer to include the instructions in the template, while others prefer to use an additional prompt. This choice is also left to you.</w:t>
      </w:r>
    </w:p>
    <w:p w14:paraId="10EB7D98">
      <w:pPr>
        <w:pStyle w:val="2"/>
      </w:pPr>
      <w:r>
        <w:t>3. Output Requirements</w:t>
      </w:r>
    </w:p>
    <w:p w14:paraId="353DE365">
      <w:pPr>
        <w:spacing w:after="120"/>
      </w:pPr>
      <w:r>
        <w:t>The deliverable is a .</w:t>
      </w:r>
      <w:r>
        <w:rPr>
          <w:rFonts w:ascii="Arial Bold" w:hAnsi="Arial Bold" w:cs="Arial Bold"/>
          <w:b/>
          <w:bCs/>
        </w:rPr>
        <w:t xml:space="preserve">docx </w:t>
      </w:r>
      <w:r>
        <w:t>report. We provide the report template (separate file) defining the required structure. Two kinds of content:</w:t>
      </w:r>
    </w:p>
    <w:p w14:paraId="224975DB">
      <w:pPr>
        <w:pStyle w:val="3"/>
      </w:pPr>
      <w:r>
        <w:t>3.1 Hard numbers (deterministic)</w:t>
      </w:r>
    </w:p>
    <w:p w14:paraId="773B1611">
      <w:pPr>
        <w:spacing w:after="120"/>
      </w:pPr>
      <w:r>
        <w:t>Six metrics (see template) MUST be taken from the data and filled into the report. Given the same input, the values must be identical and correct. These are the standard your computation is scored against. Do NOT hard-code the numbers or the code in your analysis script.</w:t>
      </w:r>
    </w:p>
    <w:p w14:paraId="30CA7D44">
      <w:pPr>
        <w:spacing w:after="120"/>
      </w:pPr>
      <w:r>
        <w:t>We want to see how you manage your agents to produce these deterministic outputs.</w:t>
      </w:r>
    </w:p>
    <w:p w14:paraId="6334738A">
      <w:pPr>
        <w:pStyle w:val="3"/>
      </w:pPr>
      <w:r>
        <w:t>3.2 Supplementary Observations</w:t>
      </w:r>
    </w:p>
    <w:p w14:paraId="6E416D2A">
      <w:pPr>
        <w:spacing w:after="120"/>
      </w:pPr>
      <w:r>
        <w:t>The template includes a 补充观察 (Supplementary Observations) section with no fixed formula. Use the agent's reasoning over the data and any relevant domain knowledge to decide what belongs. The audience is the manager running this parking business; surface decision-useful insights (eg. revenue leakage, discount/free exposure, channel or payment-mix patterns, anomalies).</w:t>
      </w:r>
    </w:p>
    <w:p w14:paraId="5F05E402">
      <w:pPr>
        <w:spacing w:after="120"/>
      </w:pPr>
      <w:r>
        <w:t xml:space="preserve">This section is meant for you as a candidate to have fun with the problem. We’d love to see what you come up with and your approach to it. </w:t>
      </w:r>
    </w:p>
    <w:p w14:paraId="00091565">
      <w:pPr>
        <w:pStyle w:val="3"/>
      </w:pPr>
      <w:r>
        <w:t>3.3 Format</w:t>
      </w:r>
    </w:p>
    <w:p w14:paraId="7786700C">
      <w:pPr>
        <w:pStyle w:val="16"/>
        <w:numPr>
          <w:ilvl w:val="0"/>
          <w:numId w:val="2"/>
        </w:numPr>
        <w:spacing w:after="60"/>
      </w:pPr>
      <w:r>
        <w:t>Output MUST be a .docx file.</w:t>
      </w:r>
    </w:p>
    <w:p w14:paraId="7B856A94">
      <w:pPr>
        <w:pStyle w:val="16"/>
        <w:numPr>
          <w:ilvl w:val="0"/>
          <w:numId w:val="2"/>
        </w:numPr>
        <w:spacing w:after="60"/>
      </w:pPr>
      <w:r>
        <w:t>It MUST contain text organized into clearly labeled sections.</w:t>
      </w:r>
    </w:p>
    <w:p w14:paraId="48569EBC">
      <w:pPr>
        <w:pStyle w:val="16"/>
        <w:numPr>
          <w:ilvl w:val="0"/>
          <w:numId w:val="2"/>
        </w:numPr>
        <w:spacing w:after="60"/>
      </w:pPr>
      <w:r>
        <w:t>It MUST contain at least ONE chart, rendered into the document (e.g. a payment-method breakdown).</w:t>
      </w:r>
    </w:p>
    <w:p w14:paraId="3E146C96">
      <w:pPr>
        <w:pStyle w:val="2"/>
      </w:pPr>
      <w:r>
        <w:t>4. Implementation Requirements</w:t>
      </w:r>
    </w:p>
    <w:p w14:paraId="30968B9D">
      <w:pPr>
        <w:pStyle w:val="16"/>
        <w:spacing w:after="60"/>
        <w:ind w:left="280"/>
      </w:pPr>
      <w:r>
        <w:t xml:space="preserve">1. The stack must run with a single command: a Dockerfile + docker-compose.yml (or a documented equivalent). </w:t>
      </w:r>
    </w:p>
    <w:p w14:paraId="1A76C6B3">
      <w:pPr>
        <w:pStyle w:val="16"/>
        <w:spacing w:after="60"/>
        <w:ind w:left="280"/>
      </w:pPr>
      <w:r>
        <w:t>2. Log each user request (inputs, job id, life cycle) as structured output (JSON to stdout or a file).</w:t>
      </w:r>
    </w:p>
    <w:p w14:paraId="59B19180">
      <w:pPr>
        <w:pStyle w:val="16"/>
        <w:spacing w:after="60"/>
        <w:ind w:left="280"/>
      </w:pPr>
      <w:r>
        <w:t>3. Log each LLM call (prompt, response, model, and latency) as structured output, so the agent's behaviour can be debugged after the fact.</w:t>
      </w:r>
    </w:p>
    <w:p w14:paraId="0C27B87D">
      <w:pPr>
        <w:pStyle w:val="16"/>
        <w:spacing w:after="60"/>
        <w:ind w:left="280"/>
      </w:pPr>
      <w:r>
        <w:t>4. Testing: one API-level test covering submit → status → download with the generation process mocked. Exhaustive coverage is not required.</w:t>
      </w:r>
    </w:p>
    <w:p w14:paraId="6ADD56D8">
      <w:pPr>
        <w:pStyle w:val="16"/>
        <w:spacing w:after="60"/>
        <w:ind w:left="280"/>
      </w:pPr>
      <w:r>
        <w:t>5. The report generation must be driven by a genuine agent that makes non-trivial decisions about report content. A thin wrapper that fills a template with hardcoded values and makes a single LLM call for text does not satisfy this requirement.</w:t>
      </w:r>
    </w:p>
    <w:p w14:paraId="48598897">
      <w:pPr>
        <w:pStyle w:val="2"/>
      </w:pPr>
      <w:r>
        <w:t>5. Out of Scope</w:t>
      </w:r>
    </w:p>
    <w:p w14:paraId="2DD9E6E4">
      <w:pPr>
        <w:pStyle w:val="16"/>
        <w:numPr>
          <w:ilvl w:val="0"/>
          <w:numId w:val="2"/>
        </w:numPr>
        <w:spacing w:after="60"/>
      </w:pPr>
      <w:r>
        <w:t>User authentication / authorization.</w:t>
      </w:r>
    </w:p>
    <w:p w14:paraId="1B7B9119">
      <w:pPr>
        <w:pStyle w:val="16"/>
        <w:numPr>
          <w:ilvl w:val="0"/>
          <w:numId w:val="2"/>
        </w:numPr>
        <w:spacing w:after="60"/>
      </w:pPr>
      <w:r>
        <w:t>An in-browser document viewer; download is sufficient.</w:t>
      </w:r>
    </w:p>
    <w:p w14:paraId="6E7A1E82">
      <w:pPr>
        <w:pStyle w:val="16"/>
        <w:numPr>
          <w:ilvl w:val="0"/>
          <w:numId w:val="2"/>
        </w:numPr>
        <w:spacing w:after="60"/>
      </w:pPr>
      <w:r>
        <w:t>Retry implementation (design only).</w:t>
      </w:r>
    </w:p>
    <w:p w14:paraId="5DF1446E">
      <w:pPr>
        <w:pStyle w:val="16"/>
        <w:numPr>
          <w:ilvl w:val="0"/>
          <w:numId w:val="2"/>
        </w:numPr>
        <w:spacing w:after="60"/>
      </w:pPr>
      <w:r>
        <w:t>Performance and scale tuning; UI styling.</w:t>
      </w:r>
    </w:p>
    <w:p w14:paraId="0BDB1CAF">
      <w:r>
        <w:br w:type="page"/>
      </w:r>
    </w:p>
    <w:p w14:paraId="6FE82E8D">
      <w:pPr>
        <w:pStyle w:val="2"/>
      </w:pPr>
      <w:r>
        <w:t>7. Deliverables</w:t>
      </w:r>
    </w:p>
    <w:p w14:paraId="394ED447">
      <w:pPr>
        <w:pStyle w:val="16"/>
        <w:numPr>
          <w:ilvl w:val="0"/>
          <w:numId w:val="1"/>
        </w:numPr>
        <w:spacing w:after="60"/>
      </w:pPr>
      <w:r>
        <w:t xml:space="preserve">A public Github repository with all source and README.md. Since this is your work, please share this as an open-source repository with GPLv3 license. </w:t>
      </w:r>
    </w:p>
    <w:p w14:paraId="203287C7">
      <w:pPr>
        <w:pStyle w:val="16"/>
        <w:numPr>
          <w:ilvl w:val="0"/>
          <w:numId w:val="1"/>
        </w:numPr>
        <w:spacing w:after="60"/>
      </w:pPr>
      <w:r>
        <w:t>A README: how to run it, plus a short design overview.</w:t>
      </w:r>
    </w:p>
    <w:p w14:paraId="4D8FAAEB">
      <w:pPr>
        <w:pStyle w:val="16"/>
        <w:numPr>
          <w:ilvl w:val="0"/>
          <w:numId w:val="1"/>
        </w:numPr>
        <w:spacing w:after="60"/>
      </w:pPr>
      <w:r>
        <w:t>A sample generated report produced from the provided data and template</w:t>
      </w:r>
    </w:p>
    <w:p w14:paraId="1B9CDA1B">
      <w:pPr>
        <w:pStyle w:val="2"/>
      </w:pPr>
      <w:r>
        <w:t>8. Evaluation Criteria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22E5E63">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B680464">
            <w:r>
              <w:rPr>
                <w:b/>
                <w:bCs/>
                <w:color w:val="FFFFFF"/>
              </w:rPr>
              <w:t>Area</w:t>
            </w:r>
          </w:p>
        </w:tc>
        <w:tc>
          <w:tcPr>
            <w:tcW w:w="6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07D4E37">
            <w:r>
              <w:rPr>
                <w:b/>
                <w:bCs/>
                <w:color w:val="FFFFFF"/>
              </w:rPr>
              <w:t>What we look for</w:t>
            </w:r>
          </w:p>
        </w:tc>
      </w:tr>
      <w:tr w14:paraId="4B8EE6EE">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E7BD9A">
            <w:r>
              <w:rPr>
                <w:color w:val="000000"/>
              </w:rPr>
              <w:t>Correctness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19B48">
            <w:r>
              <w:rPr>
                <w:color w:val="000000"/>
              </w:rPr>
              <w:t>The six hard numbers are computed exactly right from the data.</w:t>
            </w:r>
          </w:p>
        </w:tc>
      </w:tr>
      <w:tr w14:paraId="26FDC1F0">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3E2721">
            <w:r>
              <w:rPr>
                <w:color w:val="000000"/>
              </w:rPr>
              <w:t>Agent design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001B2">
            <w:r>
              <w:t>Template-agnostic design is encouraged but not required. The agent makes meaningful decisions about report content rather than serving as a thin text-generation wrapper.</w:t>
            </w:r>
            <w:r>
              <w:rPr>
                <w:i/>
                <w:iCs/>
              </w:rPr>
              <w:t xml:space="preserve"> </w:t>
            </w:r>
            <w:r>
              <w:t>Clean split between deterministic computation and LLM reasoning; grounded, debuggable agent; sensible handling of 补充观察.</w:t>
            </w:r>
          </w:p>
        </w:tc>
      </w:tr>
      <w:tr w14:paraId="3CA61A5B">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05D778">
            <w:r>
              <w:rPr>
                <w:color w:val="000000"/>
              </w:rPr>
              <w:t>Scoping judgement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281B25">
            <w:r>
              <w:rPr>
                <w:color w:val="000000"/>
              </w:rPr>
              <w:t>Built what was asked, cleanly, without over-engineering the deferred parts.</w:t>
            </w:r>
          </w:p>
        </w:tc>
      </w:tr>
      <w:tr w14:paraId="60781AD9">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4DEC93">
            <w:r>
              <w:rPr>
                <w:color w:val="000000"/>
              </w:rPr>
              <w:t>Observability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79A33D">
            <w:r>
              <w:rPr>
                <w:color w:val="000000"/>
              </w:rPr>
              <w:t>Request and LLM logs are present and actually useful for debugging.</w:t>
            </w:r>
          </w:p>
        </w:tc>
      </w:tr>
      <w:tr w14:paraId="51E4EDD5">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AADFCE">
            <w:r>
              <w:rPr>
                <w:color w:val="000000"/>
              </w:rPr>
              <w:t>Output quality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58CE09">
            <w:r>
              <w:rPr>
                <w:color w:val="000000"/>
              </w:rPr>
              <w:t>Report is well-structured, the chart renders, content is manager-appropriate.</w:t>
            </w:r>
          </w:p>
        </w:tc>
      </w:tr>
      <w:tr w14:paraId="00563F58">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84F7EB">
            <w:r>
              <w:rPr>
                <w:color w:val="000000"/>
              </w:rPr>
              <w:t>Operability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27CFA8">
            <w:r>
              <w:rPr>
                <w:color w:val="000000"/>
              </w:rPr>
              <w:t>One-command bring-up; clear README.</w:t>
            </w:r>
          </w:p>
        </w:tc>
      </w:tr>
    </w:tbl>
    <w:p w14:paraId="07C8C83F">
      <w:r>
        <w:br w:type="page"/>
      </w:r>
    </w:p>
    <w:p w14:paraId="3CB6D1FC">
      <w:pPr>
        <w:pStyle w:val="2"/>
      </w:pPr>
      <w:r>
        <w:t>Appendix A — Input Data Schema</w:t>
      </w:r>
    </w:p>
    <w:p w14:paraId="4CA28222">
      <w:pPr>
        <w:spacing w:after="120"/>
      </w:pPr>
      <w:r>
        <w:t>The data CSV uses the following columns (Chinese headers as exported from the parking system). A representative sample is provided separately.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360"/>
        <w:gridCol w:w="2000"/>
      </w:tblGrid>
      <w:tr w14:paraId="3167DAF0">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1673BDB">
            <w:r>
              <w:rPr>
                <w:b/>
                <w:bCs/>
                <w:color w:val="FFFFFF"/>
              </w:rPr>
              <w:t>Column (中文)</w:t>
            </w:r>
          </w:p>
        </w:tc>
        <w:tc>
          <w:tcPr>
            <w:tcW w:w="4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06FEA72">
            <w:r>
              <w:rPr>
                <w:b/>
                <w:bCs/>
                <w:color w:val="FFFFFF"/>
              </w:rPr>
              <w:t>Meaning</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081DF7F">
            <w:r>
              <w:rPr>
                <w:b/>
                <w:bCs/>
                <w:color w:val="FFFFFF"/>
              </w:rPr>
              <w:t>Example</w:t>
            </w:r>
          </w:p>
        </w:tc>
      </w:tr>
      <w:tr w14:paraId="5758F939">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46EDD2">
            <w:r>
              <w:rPr>
                <w:color w:val="000000"/>
              </w:rPr>
              <w:t>应收金额</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1E79D0">
            <w:r>
              <w:rPr>
                <w:color w:val="000000"/>
              </w:rPr>
              <w:t>Amount receivable (CNY)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40963">
            <w:r>
              <w:rPr>
                <w:color w:val="000000"/>
              </w:rPr>
              <w:t>30</w:t>
            </w:r>
          </w:p>
        </w:tc>
      </w:tr>
      <w:tr w14:paraId="1244AFA7">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5DECE2">
            <w:r>
              <w:rPr>
                <w:color w:val="000000"/>
              </w:rPr>
              <w:t>实收金额(元)</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55402B">
            <w:r>
              <w:rPr>
                <w:color w:val="000000"/>
              </w:rPr>
              <w:t>Amount actually collected (CNY)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8B6F96">
            <w:r>
              <w:rPr>
                <w:color w:val="000000"/>
              </w:rPr>
              <w:t>30</w:t>
            </w:r>
          </w:p>
        </w:tc>
      </w:tr>
      <w:tr w14:paraId="1691800E">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134B31">
            <w:r>
              <w:rPr>
                <w:color w:val="000000"/>
              </w:rPr>
              <w:t>免费金额(元)</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38997A">
            <w:r>
              <w:rPr>
                <w:color w:val="000000"/>
              </w:rPr>
              <w:t>Free / waived amount (CNY)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64AEC5">
            <w:r>
              <w:rPr>
                <w:color w:val="000000"/>
              </w:rPr>
              <w:t>0</w:t>
            </w:r>
          </w:p>
        </w:tc>
      </w:tr>
      <w:tr w14:paraId="603C5C70">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EA4D4F">
            <w:r>
              <w:rPr>
                <w:color w:val="000000"/>
              </w:rPr>
              <w:t>充值卡扣费(元)</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4C0B1">
            <w:r>
              <w:rPr>
                <w:color w:val="000000"/>
              </w:rPr>
              <w:t>Stored-value card deduction (CNY)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811CD7">
            <w:r>
              <w:rPr>
                <w:color w:val="000000"/>
              </w:rPr>
              <w:t>0.00</w:t>
            </w:r>
          </w:p>
        </w:tc>
      </w:tr>
      <w:tr w14:paraId="5F65A673">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B329F4">
            <w:r>
              <w:rPr>
                <w:color w:val="000000"/>
              </w:rPr>
              <w:t>抵扣金额(元)</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5D3362">
            <w:r>
              <w:rPr>
                <w:color w:val="000000"/>
              </w:rPr>
              <w:t>Deduction amount (CNY)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8903DA">
            <w:r>
              <w:rPr>
                <w:color w:val="000000"/>
              </w:rPr>
              <w:t>45</w:t>
            </w:r>
          </w:p>
        </w:tc>
      </w:tr>
      <w:tr w14:paraId="619DE1BD">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AF651D">
            <w:r>
              <w:rPr>
                <w:color w:val="000000"/>
              </w:rPr>
              <w:t>抵扣时长(小时)</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C6F37C">
            <w:r>
              <w:rPr>
                <w:color w:val="000000"/>
              </w:rPr>
              <w:t>Deduction duration (hours)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77AFBE">
            <w:r>
              <w:rPr>
                <w:color w:val="000000"/>
              </w:rPr>
              <w:t>2</w:t>
            </w:r>
          </w:p>
        </w:tc>
      </w:tr>
      <w:tr w14:paraId="4F4AA954">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EA0813">
            <w:r>
              <w:rPr>
                <w:color w:val="000000"/>
              </w:rPr>
              <w:t>实际抵扣额(元)</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447069">
            <w:r>
              <w:rPr>
                <w:color w:val="000000"/>
              </w:rPr>
              <w:t>Actual deducted amount (CNY)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9925C4">
            <w:r>
              <w:rPr>
                <w:color w:val="000000"/>
              </w:rPr>
              <w:t>45</w:t>
            </w:r>
          </w:p>
        </w:tc>
      </w:tr>
      <w:tr w14:paraId="34F84871">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4EEADB">
            <w:r>
              <w:rPr>
                <w:color w:val="000000"/>
              </w:rPr>
              <w:t>支付方式</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94D09D">
            <w:r>
              <w:rPr>
                <w:color w:val="000000"/>
              </w:rPr>
              <w:t>Payment method (微信/支付宝/会员积分/优惠券…)</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13F705">
            <w:r>
              <w:rPr>
                <w:color w:val="000000"/>
              </w:rPr>
              <w:t>微信</w:t>
            </w:r>
          </w:p>
        </w:tc>
      </w:tr>
      <w:tr w14:paraId="39B7E2C9">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FFF7C9">
            <w:r>
              <w:rPr>
                <w:color w:val="000000"/>
              </w:rPr>
              <w:t>支付渠道</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D1A099">
            <w:r>
              <w:rPr>
                <w:color w:val="000000"/>
              </w:rPr>
              <w:t>Payment channel (线上支付/出口贴码…)</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0B11D4">
            <w:r>
              <w:rPr>
                <w:color w:val="000000"/>
              </w:rPr>
              <w:t>线上支付</w:t>
            </w:r>
          </w:p>
        </w:tc>
      </w:tr>
      <w:tr w14:paraId="12D4989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83FABB">
            <w:r>
              <w:rPr>
                <w:color w:val="000000"/>
              </w:rPr>
              <w:t>收费时间</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36BD3E">
            <w:r>
              <w:rPr>
                <w:color w:val="000000"/>
              </w:rPr>
              <w:t>Charge timestamp</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0696D1">
            <w:r>
              <w:rPr>
                <w:color w:val="000000"/>
              </w:rPr>
              <w:t>2026-04-30 22:36:08</w:t>
            </w:r>
          </w:p>
        </w:tc>
      </w:tr>
      <w:tr w14:paraId="1CE027D4">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EF537F">
            <w:r>
              <w:rPr>
                <w:color w:val="000000"/>
              </w:rPr>
              <w:t>进车时间</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62D2CD">
            <w:r>
              <w:rPr>
                <w:color w:val="000000"/>
              </w:rPr>
              <w:t>Entry timestamp</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3DEE00">
            <w:r>
              <w:rPr>
                <w:color w:val="000000"/>
              </w:rPr>
              <w:t>2026-04-30 19:13:29</w:t>
            </w:r>
          </w:p>
        </w:tc>
      </w:tr>
    </w:tbl>
    <w:p w14:paraId="5E64C1D7">
      <w:r>
        <w:br w:type="page"/>
      </w:r>
    </w:p>
    <w:p w14:paraId="5A6D2D12">
      <w:pPr>
        <w:pStyle w:val="2"/>
      </w:pPr>
      <w:r>
        <w:t>Appendix B — Hard Numbers</w:t>
      </w:r>
    </w:p>
    <w:p w14:paraId="2966EED2">
      <w:pPr>
        <w:spacing w:after="120"/>
      </w:pPr>
      <w:r>
        <w:t>These six numbers MUST appear in the report, computed directly from the input data. They are the standard your computation is scored against.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00"/>
        <w:gridCol w:w="5560"/>
      </w:tblGrid>
      <w:tr w14:paraId="0B6C7A42">
        <w:tc>
          <w:tcPr>
            <w:tcW w:w="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CE4BB9D">
            <w:r>
              <w:rPr>
                <w:b/>
                <w:bCs/>
                <w:color w:val="FFFFFF"/>
              </w:rPr>
              <w:t>#</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DFE6143">
            <w:r>
              <w:rPr>
                <w:b/>
                <w:bCs/>
                <w:color w:val="FFFFFF"/>
              </w:rPr>
              <w:t>Hard number</w:t>
            </w:r>
          </w:p>
        </w:tc>
        <w:tc>
          <w:tcPr>
            <w:tcW w:w="5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2E5F81E">
            <w:r>
              <w:rPr>
                <w:b/>
                <w:bCs/>
                <w:color w:val="FFFFFF"/>
              </w:rPr>
              <w:t>Definition</w:t>
            </w:r>
          </w:p>
        </w:tc>
      </w:tr>
      <w:tr w14:paraId="0D233BDD">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9AE3E8">
            <w:r>
              <w:rPr>
                <w:color w:val="000000"/>
              </w:rPr>
              <w:t>1</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62262">
            <w:r>
              <w:rPr>
                <w:color w:val="000000"/>
              </w:rPr>
              <w:t>总交易笔数 (Total transactions)</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01E10B">
            <w:r>
              <w:rPr>
                <w:color w:val="000000"/>
              </w:rPr>
              <w:t>Count of all transaction rows.</w:t>
            </w:r>
          </w:p>
        </w:tc>
      </w:tr>
      <w:tr w14:paraId="4728239D">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BC5119">
            <w:r>
              <w:rPr>
                <w:color w:val="000000"/>
              </w:rPr>
              <w:t>2</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7FEE52">
            <w:r>
              <w:rPr>
                <w:color w:val="000000"/>
              </w:rPr>
              <w:t>应收总金额 (Total receivable, CNY)</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E68925">
            <w:r>
              <w:rPr>
                <w:color w:val="000000"/>
              </w:rPr>
              <w:t>Sum of 应收金额.</w:t>
            </w:r>
          </w:p>
        </w:tc>
      </w:tr>
      <w:tr w14:paraId="4036EBB7">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EB0956">
            <w:r>
              <w:rPr>
                <w:color w:val="000000"/>
              </w:rPr>
              <w:t>3</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D21722">
            <w:r>
              <w:rPr>
                <w:color w:val="000000"/>
              </w:rPr>
              <w:t>实收总金额 (Total collected, CNY)</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CE6CF6">
            <w:r>
              <w:rPr>
                <w:color w:val="000000"/>
              </w:rPr>
              <w:t>Sum of 实收金额(元).</w:t>
            </w:r>
          </w:p>
        </w:tc>
      </w:tr>
      <w:tr w14:paraId="0B570F12">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FD96DC">
            <w:r>
              <w:rPr>
                <w:color w:val="000000"/>
              </w:rPr>
              <w:t>4</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91456C">
            <w:r>
              <w:rPr>
                <w:color w:val="000000"/>
              </w:rPr>
              <w:t>实际抵扣总额 (Total actual deductions, CNY)</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210F5C">
            <w:r>
              <w:rPr>
                <w:color w:val="000000"/>
              </w:rPr>
              <w:t>Sum of 实际抵扣额(元).</w:t>
            </w:r>
          </w:p>
        </w:tc>
      </w:tr>
      <w:tr w14:paraId="21F1ACFA">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E9E66E">
            <w:r>
              <w:rPr>
                <w:color w:val="000000"/>
              </w:rPr>
              <w:t>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39C8FA">
            <w:r>
              <w:rPr>
                <w:color w:val="000000"/>
              </w:rPr>
              <w:t>实收率 (Collection rate, %)</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FEF71">
            <w:r>
              <w:rPr>
                <w:color w:val="000000"/>
              </w:rPr>
              <w:t>实收总金额 ÷ 应收总金额 × 100, one decimal.</w:t>
            </w:r>
          </w:p>
        </w:tc>
      </w:tr>
      <w:tr w14:paraId="420D1FF8">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85AE03">
            <w:r>
              <w:rPr>
                <w:color w:val="000000"/>
              </w:rPr>
              <w:t>6</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7195F6">
            <w:r>
              <w:rPr>
                <w:color w:val="000000"/>
              </w:rPr>
              <w:t>主要支付方式 (Top payment method)</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92D548">
            <w:r>
              <w:rPr>
                <w:color w:val="000000"/>
              </w:rPr>
              <w:t>The 支付方式 with the highest transaction count, with its count.</w:t>
            </w:r>
          </w:p>
        </w:tc>
      </w:tr>
    </w:tbl>
    <w:p w14:paraId="0C904DC1">
      <w:pPr>
        <w:spacing w:after="120"/>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rial Bold">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01FB4">
    <w:pPr>
      <w:jc w:val="center"/>
    </w:pPr>
    <w:r>
      <w:t xml:space="preserve">Page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BE9023"/>
    <w:multiLevelType w:val="singleLevel"/>
    <w:tmpl w:val="DDBE9023"/>
    <w:lvl w:ilvl="0" w:tentative="0">
      <w:start w:val="1"/>
      <w:numFmt w:val="decimal"/>
      <w:lvlText w:val="%1."/>
      <w:lvlJc w:val="left"/>
      <w:pPr>
        <w:ind w:left="560" w:hanging="280"/>
      </w:pPr>
    </w:lvl>
  </w:abstractNum>
  <w:abstractNum w:abstractNumId="1">
    <w:nsid w:val="FCF73A5E"/>
    <w:multiLevelType w:val="singleLevel"/>
    <w:tmpl w:val="FCF73A5E"/>
    <w:lvl w:ilvl="0" w:tentative="0">
      <w:start w:val="1"/>
      <w:numFmt w:val="bullet"/>
      <w:lvlText w:val="•"/>
      <w:lvlJc w:val="left"/>
      <w:pPr>
        <w:ind w:left="560" w:hanging="2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NotDisplayPageBoundaries w:val="1"/>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508"/>
    <w:rsid w:val="000A4F82"/>
    <w:rsid w:val="00153508"/>
    <w:rsid w:val="001F0848"/>
    <w:rsid w:val="002C21B4"/>
    <w:rsid w:val="004A646B"/>
    <w:rsid w:val="17CE8F93"/>
    <w:rsid w:val="1FCFDA88"/>
    <w:rsid w:val="27FB485E"/>
    <w:rsid w:val="3D5F6E5F"/>
    <w:rsid w:val="3F7D4BFA"/>
    <w:rsid w:val="4E2BF692"/>
    <w:rsid w:val="5BBFFBB8"/>
    <w:rsid w:val="5FFEFB11"/>
    <w:rsid w:val="65772F68"/>
    <w:rsid w:val="6FAEA84F"/>
    <w:rsid w:val="70672E03"/>
    <w:rsid w:val="74F7F942"/>
    <w:rsid w:val="753EBF5D"/>
    <w:rsid w:val="78B668B5"/>
    <w:rsid w:val="791D73E3"/>
    <w:rsid w:val="79EFA79A"/>
    <w:rsid w:val="7E5C8BAA"/>
    <w:rsid w:val="9FDDD007"/>
    <w:rsid w:val="B7AEB720"/>
    <w:rsid w:val="DF67A0A8"/>
    <w:rsid w:val="EEEFEE2F"/>
    <w:rsid w:val="F67760BC"/>
    <w:rsid w:val="F9FC1822"/>
    <w:rsid w:val="FAFFE24A"/>
    <w:rsid w:val="FBDFD59B"/>
    <w:rsid w:val="FCDE24B4"/>
    <w:rsid w:val="FFB76A22"/>
    <w:rsid w:val="FFB98497"/>
    <w:rsid w:val="FFC65576"/>
    <w:rsid w:val="FFFC195F"/>
    <w:rsid w:val="FFFFAC5C"/>
    <w:rsid w:val="FFFFCE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zh-CN" w:bidi="ar-SA"/>
    </w:rPr>
  </w:style>
  <w:style w:type="paragraph" w:styleId="2">
    <w:name w:val="heading 1"/>
    <w:next w:val="1"/>
    <w:qFormat/>
    <w:uiPriority w:val="0"/>
    <w:pPr>
      <w:spacing w:before="280" w:after="160"/>
      <w:outlineLvl w:val="0"/>
    </w:pPr>
    <w:rPr>
      <w:rFonts w:ascii="Arial" w:hAnsi="Arial" w:eastAsia="Arial" w:cs="Arial"/>
      <w:b/>
      <w:bCs/>
      <w:color w:val="1F4E79"/>
      <w:sz w:val="30"/>
      <w:szCs w:val="30"/>
      <w:lang w:val="en-US" w:eastAsia="zh-CN" w:bidi="ar-SA"/>
    </w:rPr>
  </w:style>
  <w:style w:type="paragraph" w:styleId="3">
    <w:name w:val="heading 2"/>
    <w:next w:val="1"/>
    <w:qFormat/>
    <w:uiPriority w:val="0"/>
    <w:pPr>
      <w:spacing w:before="200" w:after="120"/>
      <w:outlineLvl w:val="1"/>
    </w:pPr>
    <w:rPr>
      <w:rFonts w:ascii="Arial" w:hAnsi="Arial" w:eastAsia="Arial" w:cs="Arial"/>
      <w:b/>
      <w:bCs/>
      <w:color w:val="2E5E8C"/>
      <w:sz w:val="25"/>
      <w:szCs w:val="25"/>
      <w:lang w:val="en-US" w:eastAsia="zh-CN" w:bidi="ar-SA"/>
    </w:rPr>
  </w:style>
  <w:style w:type="paragraph" w:styleId="4">
    <w:name w:val="heading 3"/>
    <w:next w:val="1"/>
    <w:qFormat/>
    <w:uiPriority w:val="0"/>
    <w:pPr>
      <w:outlineLvl w:val="2"/>
    </w:pPr>
    <w:rPr>
      <w:rFonts w:ascii="Arial" w:hAnsi="Arial" w:eastAsia="Arial" w:cs="Arial"/>
      <w:color w:val="1F4D78"/>
      <w:sz w:val="24"/>
      <w:szCs w:val="24"/>
      <w:lang w:val="en-US" w:eastAsia="zh-CN" w:bidi="ar-SA"/>
    </w:rPr>
  </w:style>
  <w:style w:type="paragraph" w:styleId="5">
    <w:name w:val="heading 4"/>
    <w:next w:val="1"/>
    <w:qFormat/>
    <w:uiPriority w:val="0"/>
    <w:pPr>
      <w:outlineLvl w:val="3"/>
    </w:pPr>
    <w:rPr>
      <w:rFonts w:ascii="Arial" w:hAnsi="Arial" w:eastAsia="Arial" w:cs="Arial"/>
      <w:i/>
      <w:iCs/>
      <w:color w:val="2E74B5"/>
      <w:sz w:val="22"/>
      <w:szCs w:val="22"/>
      <w:lang w:val="en-US" w:eastAsia="zh-CN" w:bidi="ar-SA"/>
    </w:rPr>
  </w:style>
  <w:style w:type="paragraph" w:styleId="6">
    <w:name w:val="heading 5"/>
    <w:next w:val="1"/>
    <w:qFormat/>
    <w:uiPriority w:val="0"/>
    <w:pPr>
      <w:outlineLvl w:val="4"/>
    </w:pPr>
    <w:rPr>
      <w:rFonts w:ascii="Arial" w:hAnsi="Arial" w:eastAsia="Arial" w:cs="Arial"/>
      <w:color w:val="2E74B5"/>
      <w:sz w:val="22"/>
      <w:szCs w:val="22"/>
      <w:lang w:val="en-US" w:eastAsia="zh-CN" w:bidi="ar-SA"/>
    </w:rPr>
  </w:style>
  <w:style w:type="paragraph" w:styleId="7">
    <w:name w:val="heading 6"/>
    <w:next w:val="1"/>
    <w:qFormat/>
    <w:uiPriority w:val="0"/>
    <w:pPr>
      <w:outlineLvl w:val="5"/>
    </w:pPr>
    <w:rPr>
      <w:rFonts w:ascii="Arial" w:hAnsi="Arial" w:eastAsia="Arial" w:cs="Arial"/>
      <w:color w:val="1F4D78"/>
      <w:sz w:val="22"/>
      <w:szCs w:val="22"/>
      <w:lang w:val="en-US" w:eastAsia="zh-CN" w:bidi="ar-SA"/>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rPr>
      <w:rFonts w:ascii="Arial" w:hAnsi="Arial" w:eastAsia="Arial" w:cs="Arial"/>
      <w:lang w:val="en-US" w:eastAsia="zh-CN" w:bidi="ar-SA"/>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rPr>
      <w:rFonts w:ascii="Arial" w:hAnsi="Arial" w:eastAsia="Arial" w:cs="Arial"/>
      <w:lang w:val="en-US" w:eastAsia="zh-CN" w:bidi="ar-SA"/>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lang w:val="en-US" w:eastAsia="zh-CN" w:bidi="ar-SA"/>
    </w:rPr>
  </w:style>
  <w:style w:type="paragraph" w:styleId="16">
    <w:name w:val="List Paragraph"/>
    <w:qFormat/>
    <w:uiPriority w:val="0"/>
    <w:rPr>
      <w:rFonts w:ascii="Arial" w:hAnsi="Arial" w:eastAsia="Arial" w:cs="Arial"/>
      <w:sz w:val="22"/>
      <w:szCs w:val="22"/>
      <w:lang w:val="en-US" w:eastAsia="zh-CN" w:bidi="ar-SA"/>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1123</Words>
  <Characters>6406</Characters>
  <Lines>53</Lines>
  <Paragraphs>15</Paragraphs>
  <TotalTime>23</TotalTime>
  <ScaleCrop>false</ScaleCrop>
  <LinksUpToDate>false</LinksUpToDate>
  <CharactersWithSpaces>7514</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2026-06-06T03:25:00Z</dcterms:created>
  <dc:creator>Un-named</dc:creator>
  <cp:lastModifiedBy>Frank Gu</cp:lastModifiedBy>
  <dcterms:modified xsi:type="dcterms:W3CDTF">2026-06-10T07:21:13Z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1D66DCE465A3E5DDD5CB216A154B4D6D_42</vt:lpwstr>
  </property>
  <property fmtid="{D5CDD505-2E9C-101B-9397-08002B2CF9AE}" pid="4" name="OfficeCLI.Version">
    <vt:lpwstr>1.0.103</vt:lpwstr>
  </property>
  <property fmtid="{D5CDD505-2E9C-101B-9397-08002B2CF9AE}" pid="5" name="OfficeCLI.LastModified">
    <vt:lpwstr>2026-06-09T10:06:55Z</vt:lpwstr>
  </property>
</Properties>
</file>