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信息安全规范</w:t>
      </w:r>
    </w:p>
    <w:p>
      <w:pPr>
        <w:pStyle w:val="Heading2"/>
      </w:pPr>
      <w:r>
        <w:t>一、账号与口令</w:t>
      </w:r>
    </w:p>
    <w:p>
      <w:r>
        <w:t>员工账号实行实名制，一人一号，禁止共享。</w:t>
      </w:r>
    </w:p>
    <w:p>
      <w:r>
        <w:t>口令长度不少于 12 位，必须包含大小写字母、数字与符号，每 90 天更换一次。</w:t>
      </w:r>
    </w:p>
    <w:p>
      <w:pPr>
        <w:pStyle w:val="Heading2"/>
      </w:pPr>
      <w:r>
        <w:t>二、数据分级</w:t>
      </w:r>
    </w:p>
    <w:p>
      <w:r>
        <w:t>公司数据分为公开、内部、秘密、机密四级。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级别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公开</w:t>
            </w:r>
          </w:p>
        </w:tc>
        <w:tc>
          <w:tcPr>
            <w:tcW w:type="dxa" w:w="4320"/>
          </w:tcPr>
          <w:p>
            <w:r>
              <w:t>可对外发布的信息</w:t>
            </w:r>
          </w:p>
        </w:tc>
      </w:tr>
      <w:tr>
        <w:tc>
          <w:tcPr>
            <w:tcW w:type="dxa" w:w="4320"/>
          </w:tcPr>
          <w:p>
            <w:r>
              <w:t>内部</w:t>
            </w:r>
          </w:p>
        </w:tc>
        <w:tc>
          <w:tcPr>
            <w:tcW w:type="dxa" w:w="4320"/>
          </w:tcPr>
          <w:p>
            <w:r>
              <w:t>仅限公司员工访问</w:t>
            </w:r>
          </w:p>
        </w:tc>
      </w:tr>
      <w:tr>
        <w:tc>
          <w:tcPr>
            <w:tcW w:type="dxa" w:w="4320"/>
          </w:tcPr>
          <w:p>
            <w:r>
              <w:t>秘密</w:t>
            </w:r>
          </w:p>
        </w:tc>
        <w:tc>
          <w:tcPr>
            <w:tcW w:type="dxa" w:w="4320"/>
          </w:tcPr>
          <w:p>
            <w:r>
              <w:t>仅限授权岗位访问，需审批</w:t>
            </w:r>
          </w:p>
        </w:tc>
      </w:tr>
      <w:tr>
        <w:tc>
          <w:tcPr>
            <w:tcW w:type="dxa" w:w="4320"/>
          </w:tcPr>
          <w:p>
            <w:r>
              <w:t>机密</w:t>
            </w:r>
          </w:p>
        </w:tc>
        <w:tc>
          <w:tcPr>
            <w:tcW w:type="dxa" w:w="4320"/>
          </w:tcPr>
          <w:p>
            <w:r>
              <w:t>仅限指定人员访问，全程留痕</w:t>
            </w:r>
          </w:p>
        </w:tc>
      </w:tr>
    </w:tbl>
    <w:p>
      <w:pPr>
        <w:pStyle w:val="Heading2"/>
      </w:pPr>
      <w:r>
        <w:t>三、终端安全</w:t>
      </w:r>
    </w:p>
    <w:p>
      <w:r>
        <w:t>办公终端必须启用磁盘加密与屏幕锁屏，离开工位须锁屏。</w:t>
      </w:r>
    </w:p>
    <w:p>
      <w:r>
        <w:t>禁止在办公终端安装未授权的软件，禁止使用私人存储介质拷贝公司数据。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