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A2" w:rsidRPr="00C0319D" w:rsidRDefault="00DE39A2" w:rsidP="009A3D4A">
      <w:pPr>
        <w:spacing w:line="240" w:lineRule="auto"/>
        <w:rPr>
          <w:rFonts w:cstheme="minorHAnsi"/>
          <w:b/>
        </w:rPr>
      </w:pPr>
      <w:r w:rsidRPr="00C0319D">
        <w:rPr>
          <w:rFonts w:cstheme="minorHAnsi"/>
          <w:b/>
        </w:rPr>
        <w:t>Properties description:-</w:t>
      </w:r>
    </w:p>
    <w:p w:rsidR="007571CC" w:rsidRPr="00C0319D" w:rsidRDefault="00DD6943" w:rsidP="009A3D4A">
      <w:pPr>
        <w:spacing w:line="240" w:lineRule="auto"/>
        <w:rPr>
          <w:rFonts w:cstheme="minorHAnsi"/>
        </w:rPr>
      </w:pPr>
      <w:r w:rsidRPr="00C0319D">
        <w:rPr>
          <w:rFonts w:cstheme="minorHAnsi"/>
        </w:rPr>
        <w:t>All definitions taken from</w:t>
      </w:r>
      <w:r w:rsidR="007571CC" w:rsidRPr="00C0319D">
        <w:rPr>
          <w:rFonts w:cstheme="minorHAnsi"/>
        </w:rPr>
        <w:t xml:space="preserve"> official </w:t>
      </w:r>
      <w:r w:rsidR="007504F9" w:rsidRPr="00C0319D">
        <w:rPr>
          <w:rFonts w:cstheme="minorHAnsi"/>
        </w:rPr>
        <w:t>PubChem</w:t>
      </w:r>
      <w:r w:rsidR="007571CC" w:rsidRPr="00C0319D">
        <w:rPr>
          <w:rFonts w:cstheme="minorHAnsi"/>
        </w:rPr>
        <w:t xml:space="preserve"> documentation</w:t>
      </w:r>
    </w:p>
    <w:p w:rsidR="00DE39A2" w:rsidRPr="00C0319D" w:rsidRDefault="00DD6943" w:rsidP="009A3D4A">
      <w:pPr>
        <w:spacing w:line="240" w:lineRule="auto"/>
        <w:rPr>
          <w:rFonts w:cstheme="minorHAnsi"/>
        </w:rPr>
      </w:pPr>
      <w:r w:rsidRPr="00C0319D">
        <w:rPr>
          <w:rFonts w:cstheme="minorHAnsi"/>
        </w:rPr>
        <w:t xml:space="preserve"> </w:t>
      </w:r>
      <w:hyperlink r:id="rId7" w:history="1">
        <w:r w:rsidRPr="00C0319D">
          <w:rPr>
            <w:rStyle w:val="Hyperlink"/>
            <w:rFonts w:cstheme="minorHAnsi"/>
          </w:rPr>
          <w:t>https://pubchemdocs.ncbi.nlm.nih.gov/pug-rest</w:t>
        </w:r>
      </w:hyperlink>
    </w:p>
    <w:p w:rsidR="00DD6943" w:rsidRPr="00C0319D" w:rsidRDefault="00DD6943" w:rsidP="009A3D4A">
      <w:pPr>
        <w:spacing w:line="240" w:lineRule="auto"/>
        <w:rPr>
          <w:rFonts w:cstheme="minorHAnsi"/>
        </w:rPr>
      </w:pPr>
    </w:p>
    <w:tbl>
      <w:tblPr>
        <w:tblStyle w:val="TableGrid"/>
        <w:tblW w:w="10975" w:type="dxa"/>
        <w:tblLook w:val="04A0" w:firstRow="1" w:lastRow="0" w:firstColumn="1" w:lastColumn="0" w:noHBand="0" w:noVBand="1"/>
      </w:tblPr>
      <w:tblGrid>
        <w:gridCol w:w="2281"/>
        <w:gridCol w:w="8694"/>
      </w:tblGrid>
      <w:tr w:rsidR="00A07737" w:rsidRPr="00C0319D" w:rsidTr="00A07737">
        <w:tc>
          <w:tcPr>
            <w:tcW w:w="2281" w:type="dxa"/>
          </w:tcPr>
          <w:p w:rsidR="00A07737" w:rsidRPr="00C0319D" w:rsidRDefault="00A07737" w:rsidP="009A3D4A">
            <w:pPr>
              <w:rPr>
                <w:rFonts w:cstheme="minorHAnsi"/>
              </w:rPr>
            </w:pPr>
            <w:r w:rsidRPr="00C0319D">
              <w:rPr>
                <w:rFonts w:cstheme="minorHAnsi"/>
              </w:rPr>
              <w:t>Molecular weight</w:t>
            </w:r>
          </w:p>
        </w:tc>
        <w:tc>
          <w:tcPr>
            <w:tcW w:w="8694" w:type="dxa"/>
          </w:tcPr>
          <w:p w:rsidR="00A07737" w:rsidRPr="00C0319D" w:rsidRDefault="00A07737" w:rsidP="009A3D4A">
            <w:pPr>
              <w:rPr>
                <w:rFonts w:cstheme="minorHAnsi"/>
              </w:rPr>
            </w:pPr>
            <w:r w:rsidRPr="00C0319D">
              <w:rPr>
                <w:rFonts w:cstheme="minorHAnsi"/>
                <w:color w:val="212121"/>
                <w:shd w:val="clear" w:color="auto" w:fill="FFFFFF"/>
              </w:rPr>
              <w:t>The </w:t>
            </w:r>
            <w:hyperlink r:id="rId8" w:history="1">
              <w:r w:rsidRPr="00C0319D">
                <w:rPr>
                  <w:rStyle w:val="Hyperlink"/>
                  <w:rFonts w:cstheme="minorHAnsi"/>
                  <w:shd w:val="clear" w:color="auto" w:fill="FFFFFF"/>
                </w:rPr>
                <w:t>molecular weight</w:t>
              </w:r>
            </w:hyperlink>
            <w:r w:rsidRPr="00C0319D">
              <w:rPr>
                <w:rFonts w:cstheme="minorHAnsi"/>
                <w:color w:val="212121"/>
                <w:shd w:val="clear" w:color="auto" w:fill="FFFFFF"/>
              </w:rPr>
              <w:t> is the sum of all atomic weights of the constituent atoms in a compound, m</w:t>
            </w:r>
            <w:bookmarkStart w:id="0" w:name="_GoBack"/>
            <w:bookmarkEnd w:id="0"/>
            <w:r w:rsidRPr="00C0319D">
              <w:rPr>
                <w:rFonts w:cstheme="minorHAnsi"/>
                <w:color w:val="212121"/>
                <w:shd w:val="clear" w:color="auto" w:fill="FFFFFF"/>
              </w:rPr>
              <w:t>easured in gr/mol. In the absence of explicit isotope labeling, averaged natural abundance (which may, for example in case of Li and U compounds, not be identical to purchasable material) is assumed. If an atom bears an explicit isotope label, 100% isotopic purity is assumed at this location, even for short-lived radioactive isotopes where this is often physically unrealistic. At this moment, it is not possible to deposit more detailed isotope composition information into the PubChem database. Pseudo-atoms which are not an element have an atomic weight of 0 g/mol.</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Octanol-water partition coefficient</w:t>
            </w:r>
          </w:p>
        </w:tc>
        <w:tc>
          <w:tcPr>
            <w:tcW w:w="8694" w:type="dxa"/>
          </w:tcPr>
          <w:p w:rsidR="00A07737" w:rsidRPr="00C0319D" w:rsidRDefault="00A07737" w:rsidP="009A3D4A">
            <w:pPr>
              <w:rPr>
                <w:rFonts w:cstheme="minorHAnsi"/>
              </w:rPr>
            </w:pPr>
            <w:r w:rsidRPr="00C0319D">
              <w:rPr>
                <w:rFonts w:cstheme="minorHAnsi"/>
                <w:color w:val="212121"/>
                <w:shd w:val="clear" w:color="auto" w:fill="FFFFFF"/>
              </w:rPr>
              <w:t xml:space="preserve">A computationally predicted octanol-water partition coefficient (or distribution coefficient).  It is used as a measure of </w:t>
            </w:r>
            <w:proofErr w:type="spellStart"/>
            <w:r w:rsidRPr="00C0319D">
              <w:rPr>
                <w:rFonts w:cstheme="minorHAnsi"/>
                <w:color w:val="212121"/>
                <w:shd w:val="clear" w:color="auto" w:fill="FFFFFF"/>
              </w:rPr>
              <w:t>hydrophilcity</w:t>
            </w:r>
            <w:proofErr w:type="spellEnd"/>
            <w:r w:rsidRPr="00C0319D">
              <w:rPr>
                <w:rFonts w:cstheme="minorHAnsi"/>
                <w:color w:val="212121"/>
                <w:shd w:val="clear" w:color="auto" w:fill="FFFFFF"/>
              </w:rPr>
              <w:t xml:space="preserve"> or hydrophobicity of a molecule.  From 2009, the PubChem uses version 3 of the algorithm to generate the </w:t>
            </w:r>
            <w:proofErr w:type="spellStart"/>
            <w:r w:rsidRPr="00C0319D">
              <w:rPr>
                <w:rFonts w:cstheme="minorHAnsi"/>
                <w:color w:val="212121"/>
                <w:shd w:val="clear" w:color="auto" w:fill="FFFFFF"/>
              </w:rPr>
              <w:t>XlogP</w:t>
            </w:r>
            <w:proofErr w:type="spellEnd"/>
            <w:r w:rsidRPr="00C0319D">
              <w:rPr>
                <w:rFonts w:cstheme="minorHAnsi"/>
                <w:color w:val="212121"/>
                <w:shd w:val="clear" w:color="auto" w:fill="FFFFFF"/>
              </w:rPr>
              <w:t xml:space="preserve"> value, which is described in the paper by </w:t>
            </w:r>
            <w:hyperlink r:id="rId9" w:tgtFrame="_blank" w:history="1">
              <w:r w:rsidRPr="00C0319D">
                <w:rPr>
                  <w:rStyle w:val="Hyperlink"/>
                  <w:rFonts w:cstheme="minorHAnsi"/>
                  <w:shd w:val="clear" w:color="auto" w:fill="FFFFFF"/>
                </w:rPr>
                <w:t>Cheng et al.</w:t>
              </w:r>
            </w:hyperlink>
          </w:p>
        </w:tc>
      </w:tr>
      <w:tr w:rsidR="00A07737" w:rsidRPr="00C0319D" w:rsidTr="00A07737">
        <w:tc>
          <w:tcPr>
            <w:tcW w:w="2281" w:type="dxa"/>
          </w:tcPr>
          <w:p w:rsidR="00A07737" w:rsidRPr="00C0319D" w:rsidRDefault="00A07737" w:rsidP="009A3D4A">
            <w:pPr>
              <w:rPr>
                <w:rFonts w:cstheme="minorHAnsi"/>
              </w:rPr>
            </w:pPr>
            <w:r w:rsidRPr="00C0319D">
              <w:rPr>
                <w:rFonts w:cstheme="minorHAnsi"/>
              </w:rPr>
              <w:t>Complexity</w:t>
            </w:r>
          </w:p>
        </w:tc>
        <w:tc>
          <w:tcPr>
            <w:tcW w:w="8694" w:type="dxa"/>
          </w:tcPr>
          <w:p w:rsidR="00A07737" w:rsidRPr="00C0319D" w:rsidRDefault="00A07737" w:rsidP="009A3D4A">
            <w:pPr>
              <w:pStyle w:val="NormalWeb"/>
              <w:spacing w:before="0" w:beforeAutospacing="0" w:after="0" w:afterAutospacing="0"/>
              <w:rPr>
                <w:rFonts w:asciiTheme="minorHAnsi" w:hAnsiTheme="minorHAnsi" w:cstheme="minorHAnsi"/>
                <w:color w:val="212121"/>
                <w:sz w:val="22"/>
                <w:szCs w:val="22"/>
              </w:rPr>
            </w:pPr>
            <w:r w:rsidRPr="00C0319D">
              <w:rPr>
                <w:rFonts w:asciiTheme="minorHAnsi" w:hAnsiTheme="minorHAnsi" w:cstheme="minorHAnsi"/>
                <w:color w:val="212121"/>
                <w:sz w:val="22"/>
                <w:szCs w:val="22"/>
              </w:rPr>
              <w:t xml:space="preserve">The complexity rating of a compound is a rough estimate of how complicated the structure is, seen from the point of view of both the elements contained and the displayed structural features including symmetry.  However, neither stereochemistry nor isotope labelling are used as auxiliary criteria.  The value is computed using the </w:t>
            </w:r>
            <w:proofErr w:type="spellStart"/>
            <w:r w:rsidRPr="00C0319D">
              <w:rPr>
                <w:rFonts w:asciiTheme="minorHAnsi" w:hAnsiTheme="minorHAnsi" w:cstheme="minorHAnsi"/>
                <w:color w:val="212121"/>
                <w:sz w:val="22"/>
                <w:szCs w:val="22"/>
              </w:rPr>
              <w:t>Bertz</w:t>
            </w:r>
            <w:proofErr w:type="spellEnd"/>
            <w:r w:rsidRPr="00C0319D">
              <w:rPr>
                <w:rFonts w:asciiTheme="minorHAnsi" w:hAnsiTheme="minorHAnsi" w:cstheme="minorHAnsi"/>
                <w:color w:val="212121"/>
                <w:sz w:val="22"/>
                <w:szCs w:val="22"/>
              </w:rPr>
              <w:t>/Hendrickson/</w:t>
            </w:r>
            <w:proofErr w:type="spellStart"/>
            <w:r w:rsidRPr="00C0319D">
              <w:rPr>
                <w:rFonts w:asciiTheme="minorHAnsi" w:hAnsiTheme="minorHAnsi" w:cstheme="minorHAnsi"/>
                <w:color w:val="212121"/>
                <w:sz w:val="22"/>
                <w:szCs w:val="22"/>
              </w:rPr>
              <w:t>Ihlenfeldt</w:t>
            </w:r>
            <w:proofErr w:type="spellEnd"/>
            <w:r w:rsidRPr="00C0319D">
              <w:rPr>
                <w:rFonts w:asciiTheme="minorHAnsi" w:hAnsiTheme="minorHAnsi" w:cstheme="minorHAnsi"/>
                <w:color w:val="212121"/>
                <w:sz w:val="22"/>
                <w:szCs w:val="22"/>
              </w:rPr>
              <w:t xml:space="preserve"> formula, described in these papers:</w:t>
            </w:r>
          </w:p>
          <w:p w:rsidR="00A07737" w:rsidRPr="00C0319D" w:rsidRDefault="00A07737" w:rsidP="009A3D4A">
            <w:pPr>
              <w:numPr>
                <w:ilvl w:val="0"/>
                <w:numId w:val="1"/>
              </w:numPr>
              <w:spacing w:before="90" w:after="90"/>
              <w:ind w:left="0"/>
              <w:rPr>
                <w:rFonts w:cstheme="minorHAnsi"/>
                <w:color w:val="212121"/>
              </w:rPr>
            </w:pPr>
            <w:hyperlink r:id="rId10" w:tgtFrame="_blank" w:history="1">
              <w:r w:rsidRPr="00C0319D">
                <w:rPr>
                  <w:rStyle w:val="Strong"/>
                  <w:rFonts w:cstheme="minorHAnsi"/>
                  <w:color w:val="0000FF"/>
                </w:rPr>
                <w:t>The first general index of molecular complexity</w:t>
              </w:r>
              <w:r w:rsidRPr="00C0319D">
                <w:rPr>
                  <w:rFonts w:cstheme="minorHAnsi"/>
                  <w:color w:val="0000FF"/>
                </w:rPr>
                <w:br/>
              </w:r>
              <w:r w:rsidRPr="00C0319D">
                <w:rPr>
                  <w:rStyle w:val="Hyperlink"/>
                  <w:rFonts w:cstheme="minorHAnsi"/>
                </w:rPr>
                <w:t xml:space="preserve">S.H. </w:t>
              </w:r>
              <w:proofErr w:type="spellStart"/>
              <w:r w:rsidRPr="00C0319D">
                <w:rPr>
                  <w:rStyle w:val="Hyperlink"/>
                  <w:rFonts w:cstheme="minorHAnsi"/>
                </w:rPr>
                <w:t>Bertz</w:t>
              </w:r>
              <w:proofErr w:type="spellEnd"/>
              <w:r w:rsidRPr="00C0319D">
                <w:rPr>
                  <w:rStyle w:val="Hyperlink"/>
                  <w:rFonts w:cstheme="minorHAnsi"/>
                </w:rPr>
                <w:t>, J. Am. Chem. Soc., 1981, 103 (12), pp 3599–3601</w:t>
              </w:r>
            </w:hyperlink>
          </w:p>
          <w:p w:rsidR="00A07737" w:rsidRPr="00C0319D" w:rsidRDefault="00A07737" w:rsidP="009A3D4A">
            <w:pPr>
              <w:numPr>
                <w:ilvl w:val="0"/>
                <w:numId w:val="1"/>
              </w:numPr>
              <w:spacing w:after="90"/>
              <w:ind w:left="0"/>
              <w:rPr>
                <w:rFonts w:cstheme="minorHAnsi"/>
                <w:color w:val="212121"/>
              </w:rPr>
            </w:pPr>
            <w:hyperlink r:id="rId11" w:tgtFrame="_blank" w:history="1">
              <w:r w:rsidRPr="00C0319D">
                <w:rPr>
                  <w:rStyle w:val="Strong"/>
                  <w:rFonts w:cstheme="minorHAnsi"/>
                  <w:color w:val="0000FF"/>
                </w:rPr>
                <w:t>Molecular complexity: a simplified formula adapted to individual atoms</w:t>
              </w:r>
              <w:r w:rsidRPr="00C0319D">
                <w:rPr>
                  <w:rFonts w:cstheme="minorHAnsi"/>
                  <w:color w:val="0000FF"/>
                </w:rPr>
                <w:br/>
              </w:r>
              <w:r w:rsidRPr="00C0319D">
                <w:rPr>
                  <w:rStyle w:val="Hyperlink"/>
                  <w:rFonts w:cstheme="minorHAnsi"/>
                </w:rPr>
                <w:t>Hendrickson </w:t>
              </w:r>
              <w:r w:rsidRPr="00C0319D">
                <w:rPr>
                  <w:rStyle w:val="Emphasis"/>
                  <w:rFonts w:cstheme="minorHAnsi"/>
                  <w:color w:val="0000FF"/>
                </w:rPr>
                <w:t>et al.</w:t>
              </w:r>
              <w:r w:rsidRPr="00C0319D">
                <w:rPr>
                  <w:rStyle w:val="Hyperlink"/>
                  <w:rFonts w:cstheme="minorHAnsi"/>
                </w:rPr>
                <w:t xml:space="preserve">, J. Chem. Inf. </w:t>
              </w:r>
              <w:proofErr w:type="spellStart"/>
              <w:r w:rsidRPr="00C0319D">
                <w:rPr>
                  <w:rStyle w:val="Hyperlink"/>
                  <w:rFonts w:cstheme="minorHAnsi"/>
                </w:rPr>
                <w:t>Comput</w:t>
              </w:r>
              <w:proofErr w:type="spellEnd"/>
              <w:r w:rsidRPr="00C0319D">
                <w:rPr>
                  <w:rStyle w:val="Hyperlink"/>
                  <w:rFonts w:cstheme="minorHAnsi"/>
                </w:rPr>
                <w:t>. Sci., 1987, 27 (2), pp 63–67.</w:t>
              </w:r>
            </w:hyperlink>
          </w:p>
          <w:p w:rsidR="00A07737" w:rsidRPr="00C0319D" w:rsidRDefault="00A07737" w:rsidP="009A3D4A">
            <w:pPr>
              <w:pStyle w:val="NormalWeb"/>
              <w:spacing w:before="0" w:beforeAutospacing="0" w:after="0" w:afterAutospacing="0"/>
              <w:rPr>
                <w:rFonts w:asciiTheme="minorHAnsi" w:hAnsiTheme="minorHAnsi" w:cstheme="minorHAnsi"/>
                <w:color w:val="212121"/>
                <w:sz w:val="22"/>
                <w:szCs w:val="22"/>
              </w:rPr>
            </w:pPr>
            <w:r w:rsidRPr="00C0319D">
              <w:rPr>
                <w:rFonts w:asciiTheme="minorHAnsi" w:hAnsiTheme="minorHAnsi" w:cstheme="minorHAnsi"/>
                <w:color w:val="212121"/>
                <w:sz w:val="22"/>
                <w:szCs w:val="22"/>
              </w:rPr>
              <w:t>A scaling factor for aromaticity is used so that the complexity of benzene is the same as of cyclohexane. It is a floating point value, ranging from 0 (simple ions) to several thousand (complex natural products). Generally larger compounds are more complex than smaller ones, but highly symmetrical compounds, or compounds with few distinct atom types or elements are downgraded. Complexity is only loosely correlated with synthetic accessibility.</w:t>
            </w:r>
          </w:p>
          <w:p w:rsidR="00A07737" w:rsidRPr="00C0319D" w:rsidRDefault="00A07737" w:rsidP="009A3D4A">
            <w:pPr>
              <w:rPr>
                <w:rFonts w:cstheme="minorHAnsi"/>
              </w:rPr>
            </w:pP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Heavy Atom Count</w:t>
            </w:r>
          </w:p>
        </w:tc>
        <w:tc>
          <w:tcPr>
            <w:tcW w:w="8694" w:type="dxa"/>
          </w:tcPr>
          <w:p w:rsidR="00A07737" w:rsidRPr="00C0319D" w:rsidRDefault="00A07737" w:rsidP="009A3D4A">
            <w:pPr>
              <w:rPr>
                <w:rFonts w:cstheme="minorHAnsi"/>
              </w:rPr>
            </w:pPr>
            <w:r w:rsidRPr="00C0319D">
              <w:rPr>
                <w:rFonts w:cstheme="minorHAnsi"/>
                <w:color w:val="212121"/>
                <w:shd w:val="clear" w:color="auto" w:fill="FFFFFF"/>
              </w:rPr>
              <w:t>Number of non-hydrogen atoms.</w:t>
            </w:r>
          </w:p>
        </w:tc>
      </w:tr>
      <w:tr w:rsidR="00A07737" w:rsidRPr="00C0319D" w:rsidTr="00A07737">
        <w:tc>
          <w:tcPr>
            <w:tcW w:w="2281" w:type="dxa"/>
          </w:tcPr>
          <w:p w:rsidR="00A07737" w:rsidRPr="00C0319D" w:rsidRDefault="00A07737" w:rsidP="009A3D4A">
            <w:pPr>
              <w:rPr>
                <w:rFonts w:cstheme="minorHAnsi"/>
              </w:rPr>
            </w:pPr>
            <w:proofErr w:type="spellStart"/>
            <w:r w:rsidRPr="00C0319D">
              <w:rPr>
                <w:rFonts w:cstheme="minorHAnsi"/>
              </w:rPr>
              <w:t>Rotable</w:t>
            </w:r>
            <w:proofErr w:type="spellEnd"/>
            <w:r w:rsidRPr="00C0319D">
              <w:rPr>
                <w:rFonts w:cstheme="minorHAnsi"/>
              </w:rPr>
              <w:t xml:space="preserve"> Bond Count</w:t>
            </w:r>
          </w:p>
        </w:tc>
        <w:tc>
          <w:tcPr>
            <w:tcW w:w="8694" w:type="dxa"/>
          </w:tcPr>
          <w:p w:rsidR="00A07737" w:rsidRPr="00C0319D" w:rsidRDefault="00A07737" w:rsidP="009A3D4A">
            <w:pPr>
              <w:rPr>
                <w:rFonts w:cstheme="minorHAnsi"/>
              </w:rPr>
            </w:pPr>
            <w:r w:rsidRPr="00C0319D">
              <w:rPr>
                <w:rFonts w:cstheme="minorHAnsi"/>
                <w:color w:val="212121"/>
                <w:shd w:val="clear" w:color="auto" w:fill="FFFFFF"/>
              </w:rPr>
              <w:t>Number of rotatable bonds.</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TPSA</w:t>
            </w:r>
          </w:p>
        </w:tc>
        <w:tc>
          <w:tcPr>
            <w:tcW w:w="8694" w:type="dxa"/>
          </w:tcPr>
          <w:p w:rsidR="00A07737" w:rsidRPr="00C0319D" w:rsidRDefault="00A07737" w:rsidP="009A3D4A">
            <w:pPr>
              <w:rPr>
                <w:rFonts w:cstheme="minorHAnsi"/>
              </w:rPr>
            </w:pPr>
            <w:hyperlink r:id="rId12" w:history="1">
              <w:r w:rsidRPr="00C0319D">
                <w:rPr>
                  <w:rStyle w:val="Hyperlink"/>
                  <w:rFonts w:cstheme="minorHAnsi"/>
                  <w:shd w:val="clear" w:color="auto" w:fill="FFFFFF"/>
                </w:rPr>
                <w:t>Topological Polar Surface Area</w:t>
              </w:r>
            </w:hyperlink>
            <w:r w:rsidRPr="00C0319D">
              <w:rPr>
                <w:rFonts w:cstheme="minorHAnsi"/>
                <w:color w:val="212121"/>
                <w:shd w:val="clear" w:color="auto" w:fill="FFFFFF"/>
              </w:rPr>
              <w:t>. This is an estimate of the area (in Å</w:t>
            </w:r>
            <w:r w:rsidRPr="00C0319D">
              <w:rPr>
                <w:rFonts w:cstheme="minorHAnsi"/>
                <w:color w:val="212121"/>
                <w:shd w:val="clear" w:color="auto" w:fill="FFFFFF"/>
                <w:vertAlign w:val="superscript"/>
              </w:rPr>
              <w:t>2</w:t>
            </w:r>
            <w:r w:rsidRPr="00C0319D">
              <w:rPr>
                <w:rFonts w:cstheme="minorHAnsi"/>
                <w:color w:val="212121"/>
                <w:shd w:val="clear" w:color="auto" w:fill="FFFFFF"/>
              </w:rPr>
              <w:t>) which is polar. The implementation follows </w:t>
            </w:r>
            <w:hyperlink r:id="rId13" w:tgtFrame="_blank" w:history="1">
              <w:r w:rsidRPr="00C0319D">
                <w:rPr>
                  <w:rStyle w:val="Hyperlink"/>
                  <w:rFonts w:cstheme="minorHAnsi"/>
                  <w:shd w:val="clear" w:color="auto" w:fill="FFFFFF"/>
                </w:rPr>
                <w:t xml:space="preserve">the paper by </w:t>
              </w:r>
              <w:proofErr w:type="spellStart"/>
              <w:r w:rsidRPr="00C0319D">
                <w:rPr>
                  <w:rStyle w:val="Hyperlink"/>
                  <w:rFonts w:cstheme="minorHAnsi"/>
                  <w:shd w:val="clear" w:color="auto" w:fill="FFFFFF"/>
                </w:rPr>
                <w:t>Ertl</w:t>
              </w:r>
              <w:proofErr w:type="spellEnd"/>
              <w:r w:rsidRPr="00C0319D">
                <w:rPr>
                  <w:rStyle w:val="Hyperlink"/>
                  <w:rFonts w:cstheme="minorHAnsi"/>
                  <w:shd w:val="clear" w:color="auto" w:fill="FFFFFF"/>
                </w:rPr>
                <w:t xml:space="preserve"> et al. [J. Med. Chem. 2000, 43, 3714-3717</w:t>
              </w:r>
            </w:hyperlink>
            <w:r w:rsidRPr="00C0319D">
              <w:rPr>
                <w:rFonts w:cstheme="minorHAnsi"/>
                <w:color w:val="212121"/>
                <w:shd w:val="clear" w:color="auto" w:fill="FFFFFF"/>
              </w:rPr>
              <w:t>].  It is a simple method - only N and O are considered, 3D coordinates are not used, and there are various precomputed factors for different hybridizations, charges and participation in aromatic systems.</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Molecular Volume</w:t>
            </w:r>
          </w:p>
        </w:tc>
        <w:tc>
          <w:tcPr>
            <w:tcW w:w="8694" w:type="dxa"/>
          </w:tcPr>
          <w:p w:rsidR="00A07737" w:rsidRPr="00C0319D" w:rsidRDefault="00A07737" w:rsidP="009A3D4A">
            <w:pPr>
              <w:rPr>
                <w:rFonts w:cstheme="minorHAnsi"/>
              </w:rPr>
            </w:pPr>
            <w:r w:rsidRPr="00C0319D">
              <w:rPr>
                <w:rFonts w:cstheme="minorHAnsi"/>
                <w:color w:val="212121"/>
                <w:shd w:val="clear" w:color="auto" w:fill="FFFFFF"/>
              </w:rPr>
              <w:t>Analytic volume of the first diverse conformer (default conformer) for a compound.</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FeatureCount3D</w:t>
            </w:r>
          </w:p>
        </w:tc>
        <w:tc>
          <w:tcPr>
            <w:tcW w:w="8694" w:type="dxa"/>
          </w:tcPr>
          <w:p w:rsidR="00A07737" w:rsidRPr="00C0319D" w:rsidRDefault="00A07737" w:rsidP="009A3D4A">
            <w:pPr>
              <w:rPr>
                <w:rFonts w:eastAsia="Times New Roman" w:cstheme="minorHAnsi"/>
                <w:color w:val="333333"/>
              </w:rPr>
            </w:pPr>
            <w:r w:rsidRPr="00C0319D">
              <w:rPr>
                <w:rFonts w:cstheme="minorHAnsi"/>
                <w:color w:val="212121"/>
                <w:shd w:val="clear" w:color="auto" w:fill="FFFFFF"/>
              </w:rPr>
              <w:t>Total number of 3D features (the sum of FeatureAcceptorCount3D, FeatureDonorCount3D, FeatureAnionCount3D, FeatureCationCount3D, FeatureRingCount3D and FeatureHydrophobeCount3D)</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EffectiveRotorCount3D</w:t>
            </w:r>
          </w:p>
        </w:tc>
        <w:tc>
          <w:tcPr>
            <w:tcW w:w="8694" w:type="dxa"/>
          </w:tcPr>
          <w:p w:rsidR="00A07737" w:rsidRPr="00C0319D" w:rsidRDefault="00E41823" w:rsidP="009A3D4A">
            <w:pPr>
              <w:rPr>
                <w:rFonts w:eastAsia="Times New Roman" w:cstheme="minorHAnsi"/>
                <w:color w:val="333333"/>
              </w:rPr>
            </w:pPr>
            <w:r w:rsidRPr="00C0319D">
              <w:rPr>
                <w:rFonts w:cstheme="minorHAnsi"/>
                <w:color w:val="212121"/>
                <w:shd w:val="clear" w:color="auto" w:fill="FFFFFF"/>
              </w:rPr>
              <w:t>Total number of 3D features (the sum of FeatureAcceptorCount3D, FeatureDonorCount3D, FeatureAnionCount3D, FeatureCationCount3D, FeatureRingCount3D and FeatureHydrophobeCount3D)</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Conformer count 3D</w:t>
            </w:r>
          </w:p>
        </w:tc>
        <w:tc>
          <w:tcPr>
            <w:tcW w:w="8694" w:type="dxa"/>
          </w:tcPr>
          <w:p w:rsidR="00A07737" w:rsidRPr="00C0319D" w:rsidRDefault="00E41823" w:rsidP="009A3D4A">
            <w:pPr>
              <w:rPr>
                <w:rFonts w:eastAsia="Times New Roman" w:cstheme="minorHAnsi"/>
                <w:color w:val="333333"/>
              </w:rPr>
            </w:pPr>
            <w:r w:rsidRPr="00C0319D">
              <w:rPr>
                <w:rFonts w:cstheme="minorHAnsi"/>
                <w:color w:val="212121"/>
                <w:shd w:val="clear" w:color="auto" w:fill="FFFFFF"/>
              </w:rPr>
              <w:t>The number of conformers in the conformer model for a compound.</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XStericQuadrupole3D</w:t>
            </w:r>
          </w:p>
        </w:tc>
        <w:tc>
          <w:tcPr>
            <w:tcW w:w="8694" w:type="dxa"/>
          </w:tcPr>
          <w:p w:rsidR="00A07737" w:rsidRPr="004025A1" w:rsidRDefault="00E41823" w:rsidP="009A3D4A">
            <w:pPr>
              <w:rPr>
                <w:rFonts w:eastAsia="Times New Roman" w:cstheme="minorHAnsi"/>
                <w:color w:val="333333"/>
              </w:rPr>
            </w:pPr>
            <w:r w:rsidRPr="00C0319D">
              <w:rPr>
                <w:rFonts w:cstheme="minorHAnsi"/>
                <w:color w:val="212121"/>
                <w:shd w:val="clear" w:color="auto" w:fill="FFFFFF"/>
              </w:rPr>
              <w:t>The x component of the quadrupole moment (</w:t>
            </w:r>
            <w:proofErr w:type="spellStart"/>
            <w:r w:rsidRPr="00C0319D">
              <w:rPr>
                <w:rFonts w:cstheme="minorHAnsi"/>
                <w:color w:val="212121"/>
                <w:shd w:val="clear" w:color="auto" w:fill="FFFFFF"/>
              </w:rPr>
              <w:t>Qx</w:t>
            </w:r>
            <w:proofErr w:type="spellEnd"/>
            <w:r w:rsidRPr="00C0319D">
              <w:rPr>
                <w:rFonts w:cstheme="minorHAnsi"/>
                <w:color w:val="212121"/>
                <w:shd w:val="clear" w:color="auto" w:fill="FFFFFF"/>
              </w:rPr>
              <w:t>) of the first diverse conformer (default conformer) for a compound.</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lastRenderedPageBreak/>
              <w:t>Y</w:t>
            </w:r>
            <w:r w:rsidRPr="00C0319D">
              <w:rPr>
                <w:rFonts w:cstheme="minorHAnsi"/>
              </w:rPr>
              <w:t>StericQuadrupole3D</w:t>
            </w:r>
          </w:p>
        </w:tc>
        <w:tc>
          <w:tcPr>
            <w:tcW w:w="8694" w:type="dxa"/>
          </w:tcPr>
          <w:p w:rsidR="00A07737" w:rsidRPr="00C0319D" w:rsidRDefault="00E41823" w:rsidP="009A3D4A">
            <w:pPr>
              <w:rPr>
                <w:rFonts w:cstheme="minorHAnsi"/>
              </w:rPr>
            </w:pPr>
            <w:r w:rsidRPr="00C0319D">
              <w:rPr>
                <w:rFonts w:cstheme="minorHAnsi"/>
                <w:color w:val="212121"/>
                <w:shd w:val="clear" w:color="auto" w:fill="FFFFFF"/>
              </w:rPr>
              <w:t>The y component of the quadrupole moment (</w:t>
            </w:r>
            <w:proofErr w:type="spellStart"/>
            <w:r w:rsidRPr="00C0319D">
              <w:rPr>
                <w:rFonts w:cstheme="minorHAnsi"/>
                <w:color w:val="212121"/>
                <w:shd w:val="clear" w:color="auto" w:fill="FFFFFF"/>
              </w:rPr>
              <w:t>Qy</w:t>
            </w:r>
            <w:proofErr w:type="spellEnd"/>
            <w:r w:rsidRPr="00C0319D">
              <w:rPr>
                <w:rFonts w:cstheme="minorHAnsi"/>
                <w:color w:val="212121"/>
                <w:shd w:val="clear" w:color="auto" w:fill="FFFFFF"/>
              </w:rPr>
              <w:t>) of the first diverse conformer (default conformer) for a compound.</w:t>
            </w:r>
          </w:p>
        </w:tc>
      </w:tr>
      <w:tr w:rsidR="00A07737" w:rsidRPr="00C0319D" w:rsidTr="00A07737">
        <w:tc>
          <w:tcPr>
            <w:tcW w:w="2281" w:type="dxa"/>
          </w:tcPr>
          <w:p w:rsidR="00A07737" w:rsidRPr="00C0319D" w:rsidRDefault="00A07737" w:rsidP="009A3D4A">
            <w:pPr>
              <w:rPr>
                <w:rFonts w:cstheme="minorHAnsi"/>
              </w:rPr>
            </w:pPr>
            <w:r w:rsidRPr="00C0319D">
              <w:rPr>
                <w:rFonts w:cstheme="minorHAnsi"/>
              </w:rPr>
              <w:t>Z</w:t>
            </w:r>
            <w:r w:rsidRPr="00C0319D">
              <w:rPr>
                <w:rFonts w:cstheme="minorHAnsi"/>
              </w:rPr>
              <w:t>StericQuadrupole3D</w:t>
            </w:r>
          </w:p>
        </w:tc>
        <w:tc>
          <w:tcPr>
            <w:tcW w:w="8694" w:type="dxa"/>
          </w:tcPr>
          <w:p w:rsidR="00A07737" w:rsidRPr="00C0319D" w:rsidRDefault="00E41823" w:rsidP="009A3D4A">
            <w:pPr>
              <w:rPr>
                <w:rFonts w:cstheme="minorHAnsi"/>
              </w:rPr>
            </w:pPr>
            <w:r w:rsidRPr="00C0319D">
              <w:rPr>
                <w:rFonts w:cstheme="minorHAnsi"/>
                <w:color w:val="212121"/>
                <w:shd w:val="clear" w:color="auto" w:fill="FFFFFF"/>
              </w:rPr>
              <w:t>The y component of the quadrupole moment (</w:t>
            </w:r>
            <w:proofErr w:type="spellStart"/>
            <w:r w:rsidRPr="00C0319D">
              <w:rPr>
                <w:rFonts w:cstheme="minorHAnsi"/>
                <w:color w:val="212121"/>
                <w:shd w:val="clear" w:color="auto" w:fill="FFFFFF"/>
              </w:rPr>
              <w:t>Qy</w:t>
            </w:r>
            <w:proofErr w:type="spellEnd"/>
            <w:r w:rsidRPr="00C0319D">
              <w:rPr>
                <w:rFonts w:cstheme="minorHAnsi"/>
                <w:color w:val="212121"/>
                <w:shd w:val="clear" w:color="auto" w:fill="FFFFFF"/>
              </w:rPr>
              <w:t>) of the first diverse conformer (default conformer) for a compound.</w:t>
            </w:r>
          </w:p>
        </w:tc>
      </w:tr>
    </w:tbl>
    <w:p w:rsidR="002E24F2" w:rsidRPr="00C0319D" w:rsidRDefault="002E24F2" w:rsidP="009A3D4A">
      <w:pPr>
        <w:spacing w:line="240" w:lineRule="auto"/>
        <w:rPr>
          <w:rFonts w:cstheme="minorHAnsi"/>
        </w:rPr>
      </w:pPr>
    </w:p>
    <w:p w:rsidR="00C668EE" w:rsidRPr="00C0319D" w:rsidRDefault="00C668EE" w:rsidP="009A3D4A">
      <w:pPr>
        <w:spacing w:line="240" w:lineRule="auto"/>
        <w:rPr>
          <w:rFonts w:cstheme="minorHAnsi"/>
        </w:rPr>
      </w:pPr>
    </w:p>
    <w:p w:rsidR="004025A1" w:rsidRPr="00C0319D" w:rsidRDefault="004025A1" w:rsidP="009A3D4A">
      <w:pPr>
        <w:spacing w:line="240" w:lineRule="auto"/>
        <w:rPr>
          <w:rFonts w:cstheme="minorHAnsi"/>
        </w:rPr>
      </w:pPr>
    </w:p>
    <w:sectPr w:rsidR="004025A1" w:rsidRPr="00C0319D" w:rsidSect="00A077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998" w:rsidRDefault="00586998" w:rsidP="00DE39A2">
      <w:pPr>
        <w:spacing w:after="0" w:line="240" w:lineRule="auto"/>
      </w:pPr>
      <w:r>
        <w:separator/>
      </w:r>
    </w:p>
  </w:endnote>
  <w:endnote w:type="continuationSeparator" w:id="0">
    <w:p w:rsidR="00586998" w:rsidRDefault="00586998" w:rsidP="00DE3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998" w:rsidRDefault="00586998" w:rsidP="00DE39A2">
      <w:pPr>
        <w:spacing w:after="0" w:line="240" w:lineRule="auto"/>
      </w:pPr>
      <w:r>
        <w:separator/>
      </w:r>
    </w:p>
  </w:footnote>
  <w:footnote w:type="continuationSeparator" w:id="0">
    <w:p w:rsidR="00586998" w:rsidRDefault="00586998" w:rsidP="00DE3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E257D"/>
    <w:multiLevelType w:val="multilevel"/>
    <w:tmpl w:val="E6D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73"/>
    <w:rsid w:val="000F4F7C"/>
    <w:rsid w:val="002E24F2"/>
    <w:rsid w:val="004025A1"/>
    <w:rsid w:val="00586998"/>
    <w:rsid w:val="007504F9"/>
    <w:rsid w:val="007571CC"/>
    <w:rsid w:val="009A3D4A"/>
    <w:rsid w:val="00A07737"/>
    <w:rsid w:val="00B61B73"/>
    <w:rsid w:val="00C0319D"/>
    <w:rsid w:val="00C668EE"/>
    <w:rsid w:val="00D95D0F"/>
    <w:rsid w:val="00DD6943"/>
    <w:rsid w:val="00DE39A2"/>
    <w:rsid w:val="00E41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D5A6D-83B8-4A59-AA46-8FAFA3CE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monospace">
    <w:name w:val="u-monospace"/>
    <w:basedOn w:val="DefaultParagraphFont"/>
    <w:rsid w:val="00C668EE"/>
  </w:style>
  <w:style w:type="character" w:styleId="Hyperlink">
    <w:name w:val="Hyperlink"/>
    <w:basedOn w:val="DefaultParagraphFont"/>
    <w:uiPriority w:val="99"/>
    <w:unhideWhenUsed/>
    <w:rsid w:val="004025A1"/>
    <w:rPr>
      <w:color w:val="0563C1" w:themeColor="hyperlink"/>
      <w:u w:val="single"/>
    </w:rPr>
  </w:style>
  <w:style w:type="paragraph" w:styleId="NormalWeb">
    <w:name w:val="Normal (Web)"/>
    <w:basedOn w:val="Normal"/>
    <w:uiPriority w:val="99"/>
    <w:semiHidden/>
    <w:unhideWhenUsed/>
    <w:rsid w:val="00A077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737"/>
    <w:rPr>
      <w:b/>
      <w:bCs/>
    </w:rPr>
  </w:style>
  <w:style w:type="character" w:styleId="Emphasis">
    <w:name w:val="Emphasis"/>
    <w:basedOn w:val="DefaultParagraphFont"/>
    <w:uiPriority w:val="20"/>
    <w:qFormat/>
    <w:rsid w:val="00A07737"/>
    <w:rPr>
      <w:i/>
      <w:iCs/>
    </w:rPr>
  </w:style>
  <w:style w:type="paragraph" w:styleId="Header">
    <w:name w:val="header"/>
    <w:basedOn w:val="Normal"/>
    <w:link w:val="HeaderChar"/>
    <w:uiPriority w:val="99"/>
    <w:unhideWhenUsed/>
    <w:rsid w:val="00DE3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9A2"/>
  </w:style>
  <w:style w:type="paragraph" w:styleId="Footer">
    <w:name w:val="footer"/>
    <w:basedOn w:val="Normal"/>
    <w:link w:val="FooterChar"/>
    <w:uiPriority w:val="99"/>
    <w:unhideWhenUsed/>
    <w:rsid w:val="00DE3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09573">
      <w:bodyDiv w:val="1"/>
      <w:marLeft w:val="0"/>
      <w:marRight w:val="0"/>
      <w:marTop w:val="0"/>
      <w:marBottom w:val="0"/>
      <w:divBdr>
        <w:top w:val="none" w:sz="0" w:space="0" w:color="auto"/>
        <w:left w:val="none" w:sz="0" w:space="0" w:color="auto"/>
        <w:bottom w:val="none" w:sz="0" w:space="0" w:color="auto"/>
        <w:right w:val="none" w:sz="0" w:space="0" w:color="auto"/>
      </w:divBdr>
    </w:div>
    <w:div w:id="493037499">
      <w:bodyDiv w:val="1"/>
      <w:marLeft w:val="0"/>
      <w:marRight w:val="0"/>
      <w:marTop w:val="0"/>
      <w:marBottom w:val="0"/>
      <w:divBdr>
        <w:top w:val="none" w:sz="0" w:space="0" w:color="auto"/>
        <w:left w:val="none" w:sz="0" w:space="0" w:color="auto"/>
        <w:bottom w:val="none" w:sz="0" w:space="0" w:color="auto"/>
        <w:right w:val="none" w:sz="0" w:space="0" w:color="auto"/>
      </w:divBdr>
    </w:div>
    <w:div w:id="806362838">
      <w:bodyDiv w:val="1"/>
      <w:marLeft w:val="0"/>
      <w:marRight w:val="0"/>
      <w:marTop w:val="0"/>
      <w:marBottom w:val="0"/>
      <w:divBdr>
        <w:top w:val="none" w:sz="0" w:space="0" w:color="auto"/>
        <w:left w:val="none" w:sz="0" w:space="0" w:color="auto"/>
        <w:bottom w:val="none" w:sz="0" w:space="0" w:color="auto"/>
        <w:right w:val="none" w:sz="0" w:space="0" w:color="auto"/>
      </w:divBdr>
    </w:div>
    <w:div w:id="960653169">
      <w:bodyDiv w:val="1"/>
      <w:marLeft w:val="0"/>
      <w:marRight w:val="0"/>
      <w:marTop w:val="0"/>
      <w:marBottom w:val="0"/>
      <w:divBdr>
        <w:top w:val="none" w:sz="0" w:space="0" w:color="auto"/>
        <w:left w:val="none" w:sz="0" w:space="0" w:color="auto"/>
        <w:bottom w:val="none" w:sz="0" w:space="0" w:color="auto"/>
        <w:right w:val="none" w:sz="0" w:space="0" w:color="auto"/>
      </w:divBdr>
    </w:div>
    <w:div w:id="1419247993">
      <w:bodyDiv w:val="1"/>
      <w:marLeft w:val="0"/>
      <w:marRight w:val="0"/>
      <w:marTop w:val="0"/>
      <w:marBottom w:val="0"/>
      <w:divBdr>
        <w:top w:val="none" w:sz="0" w:space="0" w:color="auto"/>
        <w:left w:val="none" w:sz="0" w:space="0" w:color="auto"/>
        <w:bottom w:val="none" w:sz="0" w:space="0" w:color="auto"/>
        <w:right w:val="none" w:sz="0" w:space="0" w:color="auto"/>
      </w:divBdr>
    </w:div>
    <w:div w:id="1488864024">
      <w:bodyDiv w:val="1"/>
      <w:marLeft w:val="0"/>
      <w:marRight w:val="0"/>
      <w:marTop w:val="0"/>
      <w:marBottom w:val="0"/>
      <w:divBdr>
        <w:top w:val="none" w:sz="0" w:space="0" w:color="auto"/>
        <w:left w:val="none" w:sz="0" w:space="0" w:color="auto"/>
        <w:bottom w:val="none" w:sz="0" w:space="0" w:color="auto"/>
        <w:right w:val="none" w:sz="0" w:space="0" w:color="auto"/>
      </w:divBdr>
    </w:div>
    <w:div w:id="185152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lecular_weight" TargetMode="External"/><Relationship Id="rId13" Type="http://schemas.openxmlformats.org/officeDocument/2006/relationships/hyperlink" Target="http://dx.doi.org/10.1021/jm000942e" TargetMode="External"/><Relationship Id="rId3" Type="http://schemas.openxmlformats.org/officeDocument/2006/relationships/settings" Target="settings.xml"/><Relationship Id="rId7" Type="http://schemas.openxmlformats.org/officeDocument/2006/relationships/hyperlink" Target="https://pubchemdocs.ncbi.nlm.nih.gov/pug-rest" TargetMode="External"/><Relationship Id="rId12" Type="http://schemas.openxmlformats.org/officeDocument/2006/relationships/hyperlink" Target="https://en.wikipedia.org/wiki/Polar_surface_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1/ci00054a00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21/ja00402a071" TargetMode="External"/><Relationship Id="rId4" Type="http://schemas.openxmlformats.org/officeDocument/2006/relationships/webSettings" Target="webSettings.xml"/><Relationship Id="rId9" Type="http://schemas.openxmlformats.org/officeDocument/2006/relationships/hyperlink" Target="https://doi.org/10.1021/ci700257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2020-06-01T12:17:00Z</dcterms:created>
  <dcterms:modified xsi:type="dcterms:W3CDTF">2020-06-01T12:58:00Z</dcterms:modified>
</cp:coreProperties>
</file>