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right"/>
      </w:pPr>
      <w:r>
        <w:rPr>
          <w:rFonts w:ascii="Times New Roman" w:cs="Times New Roman" w:eastAsia="Times New Roman" w:hAnsi="Times New Roman"/>
          <w:sz w:val="24"/>
          <w:szCs w:val="24"/>
        </w:rPr>
        <w:t xml:space="preserve">Gupta 1</w:t>
      </w:r>
    </w:p>
    <w:p>
      <w:pPr>
        <w:spacing w:line="480" w:lineRule="auto"/>
      </w:pPr>
      <w:r>
        <w:rPr>
          <w:rFonts w:ascii="Times New Roman" w:cs="Times New Roman" w:eastAsia="Times New Roman" w:hAnsi="Times New Roman"/>
          <w:sz w:val="24"/>
          <w:szCs w:val="24"/>
        </w:rPr>
        <w:t xml:space="preserve">Anant Gupta</w:t>
      </w:r>
    </w:p>
    <w:p>
      <w:pPr>
        <w:spacing w:line="480" w:lineRule="auto"/>
      </w:pPr>
      <w:r>
        <w:rPr>
          <w:rFonts w:ascii="Times New Roman" w:cs="Times New Roman" w:eastAsia="Times New Roman" w:hAnsi="Times New Roman"/>
          <w:sz w:val="24"/>
          <w:szCs w:val="24"/>
        </w:rPr>
        <w:t xml:space="preserve">Professor Jeffrey W. Jones</w:t>
      </w:r>
    </w:p>
    <w:p>
      <w:pPr>
        <w:spacing w:line="480" w:lineRule="auto"/>
      </w:pPr>
      <w:r>
        <w:rPr>
          <w:rFonts w:ascii="Times New Roman" w:cs="Times New Roman" w:eastAsia="Times New Roman" w:hAnsi="Times New Roman"/>
          <w:sz w:val="24"/>
          <w:szCs w:val="24"/>
        </w:rPr>
        <w:t xml:space="preserve">HIST 1103: Contemporary World History Since 1945</w:t>
      </w:r>
    </w:p>
    <w:p>
      <w:pPr>
        <w:spacing w:line="480" w:lineRule="auto"/>
      </w:pPr>
      <w:r>
        <w:rPr>
          <w:rFonts w:ascii="Times New Roman" w:cs="Times New Roman" w:eastAsia="Times New Roman" w:hAnsi="Times New Roman"/>
          <w:sz w:val="24"/>
          <w:szCs w:val="24"/>
        </w:rPr>
        <w:t xml:space="preserve">June 30, 2026</w:t>
      </w:r>
    </w:p>
    <w:p>
      <w:pPr>
        <w:spacing w:line="480" w:lineRule="auto"/>
        <w:jc w:val="center"/>
      </w:pPr>
      <w:r>
        <w:rPr>
          <w:rFonts w:ascii="Times New Roman" w:cs="Times New Roman" w:eastAsia="Times New Roman" w:hAnsi="Times New Roman"/>
          <w:b/>
          <w:bCs/>
          <w:sz w:val="24"/>
          <w:szCs w:val="24"/>
        </w:rPr>
        <w:t xml:space="preserve">Final Examination</w:t>
      </w:r>
    </w:p>
    <w:p>
      <w:pPr>
        <w:spacing w:line="480" w:lineRule="auto"/>
        <w:jc w:val="center"/>
      </w:pPr>
      <w:r>
        <w:rPr>
          <w:rFonts w:ascii="Times New Roman" w:cs="Times New Roman" w:eastAsia="Times New Roman" w:hAnsi="Times New Roman"/>
          <w:b/>
          <w:bCs/>
          <w:sz w:val="24"/>
          <w:szCs w:val="24"/>
        </w:rPr>
        <w:t xml:space="preserve">QUESTION 1</w:t>
      </w:r>
    </w:p>
    <w:p>
      <w:pPr>
        <w:spacing w:after="0" w:before="120" w:line="480" w:lineRule="auto"/>
      </w:pPr>
      <w:r>
        <w:rPr>
          <w:rFonts w:ascii="Times New Roman" w:cs="Times New Roman" w:eastAsia="Times New Roman" w:hAnsi="Times New Roman"/>
          <w:b/>
          <w:bCs/>
          <w:sz w:val="24"/>
          <w:szCs w:val="24"/>
          <w:u w:val="single"/>
        </w:rPr>
        <w:t xml:space="preserve">East Africa — Rwanda: Civil War and Genocide</w:t>
      </w:r>
    </w:p>
    <w:p>
      <w:pPr>
        <w:spacing w:after="0" w:before="0" w:line="480" w:lineRule="auto"/>
        <w:ind w:firstLine="720"/>
      </w:pPr>
      <w:r>
        <w:rPr>
          <w:rFonts w:ascii="Times New Roman" w:cs="Times New Roman" w:eastAsia="Times New Roman" w:hAnsi="Times New Roman"/>
          <w:sz w:val="24"/>
          <w:szCs w:val="24"/>
        </w:rPr>
        <w:t xml:space="preserve">Rwanda’s genocide did not erupt without warning. Belgian colonizers who arrived in the early twentieth century transformed loose social categories — Hutu farmers and Tutsi herdsmen — into rigid racial hierarchies formalized by law. In the 1930s, Belgium issued ethnicity identity cards to every Rwandan, locking in distinctions that had previously been fluid and, in practice, permeable. Belgian administrators then promoted Tutsi elites to positions of authority over the Hutu majority, building a resentment that Hutu nationalist politicians weaponized after Rwanda’s independence in 1962. From independence to 1990, periodic waves of anti-Tutsi violence — 1959, 1963, 1973 — each drove more Tutsis across the border into Uganda, where many joined the Rwandese Patriotic Front (RPF).</w:t>
      </w:r>
      <w:r>
        <w:rPr>
          <w:rStyle w:val="FootnoteReference"/>
        </w:rPr>
        <w:footnoteReference w:id="1"/>
      </w:r>
    </w:p>
    <w:p>
      <w:pPr>
        <w:spacing w:after="0" w:before="0" w:line="480" w:lineRule="auto"/>
        <w:ind w:firstLine="720"/>
      </w:pPr>
      <w:r>
        <w:rPr>
          <w:rFonts w:ascii="Times New Roman" w:cs="Times New Roman" w:eastAsia="Times New Roman" w:hAnsi="Times New Roman"/>
          <w:sz w:val="24"/>
          <w:szCs w:val="24"/>
        </w:rPr>
        <w:t xml:space="preserve">The trigger came on April 6, 1994. President Habyarimana’s plane was shot down on approach to Kigali airport; killings began within hours across the capital and spread to the countryside within days. Radio Milles Collines announcer George Rutaganda broadcast the signal — “cut the tall trees” — and the Interahamwe militia fanned out across Rwanda, conducting door-to-door executions with machetes and firearms. The scale was staggering: approximately 800,000 Tutsis and moderate Hutus killed in roughly 100 days, between 10 and 13 percent of Rwanda’s entire population. Habyarimana’s own government had spent months distributing weapons and training militia members in preparation for precisely this moment.</w:t>
      </w:r>
      <w:r>
        <w:rPr>
          <w:rStyle w:val="FootnoteReference"/>
        </w:rPr>
        <w:footnoteReference w:id="2"/>
      </w:r>
    </w:p>
    <w:p>
      <w:pPr>
        <w:spacing w:after="0" w:before="0" w:line="480" w:lineRule="auto"/>
        <w:ind w:firstLine="720"/>
      </w:pPr>
      <w:r>
        <w:rPr>
          <w:rFonts w:ascii="Times New Roman" w:cs="Times New Roman" w:eastAsia="Times New Roman" w:hAnsi="Times New Roman"/>
          <w:sz w:val="24"/>
          <w:szCs w:val="24"/>
        </w:rPr>
        <w:t xml:space="preserve">International failure compounded the catastrophe. General Roméo Dallaire, commanding UN peacekeepers, sent a classified fax to UN headquarters on January 11, 1994 — three months before the genocide — warning of an “anti-Tutsi extermination” plot and requesting authorization to raid known arms caches. UN headquarters ordered him to take no action and share the intelligence with the Rwandan government instead: the same government whose officials were planning the killing.</w:t>
      </w:r>
      <w:r>
        <w:rPr>
          <w:rFonts w:ascii="Times New Roman" w:cs="Times New Roman" w:eastAsia="Times New Roman" w:hAnsi="Times New Roman"/>
          <w:sz w:val="24"/>
          <w:szCs w:val="24"/>
        </w:rPr>
        <w:t xml:space="preserve">¹³</w:t>
      </w:r>
      <w:r>
        <w:rPr>
          <w:rStyle w:val="FootnoteReference"/>
        </w:rPr>
        <w:footnoteReference w:id="3"/>
      </w:r>
      <w:r>
        <w:rPr>
          <w:rFonts w:ascii="Times New Roman" w:cs="Times New Roman" w:eastAsia="Times New Roman" w:hAnsi="Times New Roman"/>
          <w:sz w:val="24"/>
          <w:szCs w:val="24"/>
        </w:rPr>
        <w:t xml:space="preserve"> The Clinton administration forbade its own officials from using the word “genocide” — a legal maneuver to avoid triggering US obligations under the 1948 Genocide Convention. Clinton later called this inaction the greatest failing of his presidency.</w:t>
      </w:r>
      <w:r>
        <w:rPr>
          <w:rStyle w:val="FootnoteReference"/>
        </w:rPr>
        <w:footnoteReference w:id="4"/>
      </w:r>
    </w:p>
    <w:p>
      <w:pPr>
        <w:spacing w:after="0" w:before="0" w:line="480" w:lineRule="auto"/>
        <w:ind w:firstLine="720"/>
      </w:pPr>
      <w:r>
        <w:rPr>
          <w:rFonts w:ascii="Times New Roman" w:cs="Times New Roman" w:eastAsia="Times New Roman" w:hAnsi="Times New Roman"/>
          <w:sz w:val="24"/>
          <w:szCs w:val="24"/>
        </w:rPr>
        <w:t xml:space="preserve">RPF commander Paul Kagame ended the genocide militarily, retaking Kigali by mid-July 1994. The regional consequences proved as damaging as the genocide itself. Approximately two million Hutu, many of them génocidaires, fled into eastern Zaire; the Interahamwe reconstituted there as the Democratic Forces for the Liberation of Rwanda (FDLR), seeding the First Congo War (1996–97) and an estimated six million deaths in the conflicts that followed in eastern Congo.</w:t>
      </w:r>
      <w:r>
        <w:rPr>
          <w:rStyle w:val="FootnoteReference"/>
        </w:rPr>
        <w:footnoteReference w:id="5"/>
      </w:r>
      <w:r>
        <w:rPr>
          <w:rFonts w:ascii="Times New Roman" w:cs="Times New Roman" w:eastAsia="Times New Roman" w:hAnsi="Times New Roman"/>
          <w:sz w:val="24"/>
          <w:szCs w:val="24"/>
        </w:rPr>
        <w:t xml:space="preserve"> Rwanda today under Kagame posts strong economic growth. Gacaca courts processed 1.9 million genocide cases between 2005 and 2012. But Kagame won re-election in 2017 and 2024 with reported margins above 99 percent, with genuine opposition candidates effectively barred.</w:t>
      </w:r>
      <w:r>
        <w:rPr>
          <w:rStyle w:val="FootnoteReference"/>
        </w:rPr>
        <w:footnoteReference w:id="6"/>
      </w:r>
    </w:p>
    <w:p>
      <w:pPr>
        <w:spacing w:after="0" w:before="120" w:line="480" w:lineRule="auto"/>
      </w:pPr>
      <w:r>
        <w:rPr>
          <w:rFonts w:ascii="Times New Roman" w:cs="Times New Roman" w:eastAsia="Times New Roman" w:hAnsi="Times New Roman"/>
          <w:b/>
          <w:bCs/>
          <w:sz w:val="24"/>
          <w:szCs w:val="24"/>
          <w:u w:val="single"/>
        </w:rPr>
        <w:t xml:space="preserve">North/West Africa — Nigeria: Civil War</w:t>
      </w:r>
    </w:p>
    <w:p>
      <w:pPr>
        <w:spacing w:after="0" w:before="0" w:line="480" w:lineRule="auto"/>
        <w:ind w:firstLine="720"/>
      </w:pPr>
      <w:r>
        <w:rPr>
          <w:rFonts w:ascii="Times New Roman" w:cs="Times New Roman" w:eastAsia="Times New Roman" w:hAnsi="Times New Roman"/>
          <w:sz w:val="24"/>
          <w:szCs w:val="24"/>
        </w:rPr>
        <w:t xml:space="preserve">Nigeria’s civil war is a case study in what happens when colonial borders cut across incompatible ethnic groups and then deposit oil underneath one of them. British colonial administration merged the largely Muslim Hausa-Fulani north, the Yoruba west, and the Igbo southeast into a single state with no pre-colonial political unity. After independence in 1960, control of the central government meant control of oil revenue from the Niger Delta — oil had been discovered in 1958, and Nigeria became Africa’s largest oil producer. The ethnic group that held the federal capital held the budget.</w:t>
      </w:r>
      <w:r>
        <w:rPr>
          <w:rStyle w:val="FootnoteReference"/>
        </w:rPr>
        <w:footnoteReference w:id="7"/>
      </w:r>
    </w:p>
    <w:p>
      <w:pPr>
        <w:spacing w:after="0" w:before="0" w:line="480" w:lineRule="auto"/>
        <w:ind w:firstLine="720"/>
      </w:pPr>
      <w:r>
        <w:rPr>
          <w:rFonts w:ascii="Times New Roman" w:cs="Times New Roman" w:eastAsia="Times New Roman" w:hAnsi="Times New Roman"/>
          <w:sz w:val="24"/>
          <w:szCs w:val="24"/>
        </w:rPr>
        <w:t xml:space="preserve">A January 1966 coup, led predominantly by Igbo officers, assassinated major northern political leaders. A counter-coup in July 1966 restored northern dominance and triggered anti-Igbo pogroms across northern Nigeria — approximately 30,000 Igbo were killed in the months that followed. Igbo military governor Odumegwu Ojukwu concluded that no political arrangement within a northern-dominated Nigeria would protect Igbo lives or interests. On May 30, 1967, he declared the Republic of Biafra independent. The oil fields of the Niger Delta lay almost entirely within the boundaries of this new state, which was precisely why the federal government under Yakubu Gowon fought to prevent secession.</w:t>
      </w:r>
    </w:p>
    <w:p>
      <w:pPr>
        <w:spacing w:after="0" w:before="0" w:line="480" w:lineRule="auto"/>
        <w:ind w:firstLine="720"/>
      </w:pPr>
      <w:r>
        <w:rPr>
          <w:rFonts w:ascii="Times New Roman" w:cs="Times New Roman" w:eastAsia="Times New Roman" w:hAnsi="Times New Roman"/>
          <w:sz w:val="24"/>
          <w:szCs w:val="24"/>
        </w:rPr>
        <w:t xml:space="preserve">The federal response was a naval blockade. Starvation killed far more than bullets — estimates of total death range from one to three million; at the height of the siege, 3,000 to 5,000 people died daily. The photographs that emerged — children with distended bellies, the skeletal faces of kwashiorkor — circulated globally and became the first major televised humanitarian crisis, forcing a reckoning with what international institutions owed civilian populations in wartime. French doctors who served in Biafra, including Bernard Kouchner, rejected the Red Cross rule of silence in exchange for access and founded Médecins Sans Frontières in 1971 to create an organization that would speak publicly about atrocities.</w:t>
      </w:r>
      <w:r>
        <w:rPr>
          <w:rStyle w:val="FootnoteReference"/>
        </w:rPr>
        <w:footnoteReference w:id="8"/>
      </w:r>
    </w:p>
    <w:p>
      <w:pPr>
        <w:spacing w:after="0" w:before="0" w:line="480" w:lineRule="auto"/>
        <w:ind w:firstLine="720"/>
      </w:pPr>
      <w:r>
        <w:rPr>
          <w:rFonts w:ascii="Times New Roman" w:cs="Times New Roman" w:eastAsia="Times New Roman" w:hAnsi="Times New Roman"/>
          <w:sz w:val="24"/>
          <w:szCs w:val="24"/>
        </w:rPr>
        <w:t xml:space="preserve">The war ended January 15, 1970. Federal commander Gowon announced “no victor, no vanquished,” but Igbo properties and bank accounts seized during the war were not restored, and the structural tensions — oil revenue distribution, ethnic access to federal resources — were never resolved. Nigeria today faces successor conflicts with the same roots: Boko Haram’s insurgency, which killed an estimated 10,000 people in 2014 and kidnapped 276 schoolgirls in Chibok that April, and the IPOB separatist movement the government designated a terrorist organization in 2017.</w:t>
      </w:r>
    </w:p>
    <w:p>
      <w:pPr>
        <w:spacing w:after="0" w:before="120" w:line="480" w:lineRule="auto"/>
      </w:pPr>
      <w:r>
        <w:rPr>
          <w:rFonts w:ascii="Times New Roman" w:cs="Times New Roman" w:eastAsia="Times New Roman" w:hAnsi="Times New Roman"/>
          <w:b/>
          <w:bCs/>
          <w:sz w:val="24"/>
          <w:szCs w:val="24"/>
          <w:u w:val="single"/>
        </w:rPr>
        <w:t xml:space="preserve">Caribbean — Cuba: Revolution</w:t>
      </w:r>
    </w:p>
    <w:p>
      <w:pPr>
        <w:spacing w:after="0" w:before="0" w:line="480" w:lineRule="auto"/>
        <w:ind w:firstLine="720"/>
      </w:pPr>
      <w:r>
        <w:rPr>
          <w:rFonts w:ascii="Times New Roman" w:cs="Times New Roman" w:eastAsia="Times New Roman" w:hAnsi="Times New Roman"/>
          <w:sz w:val="24"/>
          <w:szCs w:val="24"/>
        </w:rPr>
        <w:t xml:space="preserve">The Cuban Revolution succeeded where most twentieth-century insurgencies fail: a guerrilla army of a few hundred fighters toppled a US-backed government and then survived every American attempt to reverse it for six decades. Cuba under Batista was one of the wealthiest countries in Latin America by aggregate income, but 80 percent of Cuba’s export earnings came from sugar, the US bought half of that output, and the wealth pooled in Havana’s casino hotels and a small sugar-owning elite while most rural Cubans remained in deep poverty. Batista suspended the constitution in 1952 and ruled by decree; corruption and US-backed repression had eroded his government’s legitimacy even among traditional allies by the late 1950s.</w:t>
      </w:r>
    </w:p>
    <w:p>
      <w:pPr>
        <w:spacing w:after="0" w:before="0" w:line="480" w:lineRule="auto"/>
        <w:ind w:firstLine="720"/>
      </w:pPr>
      <w:r>
        <w:rPr>
          <w:rFonts w:ascii="Times New Roman" w:cs="Times New Roman" w:eastAsia="Times New Roman" w:hAnsi="Times New Roman"/>
          <w:sz w:val="24"/>
          <w:szCs w:val="24"/>
        </w:rPr>
        <w:t xml:space="preserve">Castro’s first attempt collapsed immediately. On July 26, 1953, roughly 150 fighters attacked the Moncada Army Barracks in Santiago de Cuba, hoping to spark a popular uprising; they were defeated within hours. Castro was captured, tried, and imprisoned. Released in a general amnesty in 1955, he traveled to Mexico, met Argentine doctor Ernesto Che Guevara, and built the 26th of July Movement — named after the failed barracks attack. In November 1956, Castro and Che landed in Cuba with approximately 80 fighters; Batista’s forces reduced the group to 12 survivors within days. Those twelve retreated to the Sierra Maestra mountains and spent two years building a guerrilla army from the rural poor. Batista fled Cuba on January 1, 1959.</w:t>
      </w:r>
      <w:r>
        <w:rPr>
          <w:rStyle w:val="FootnoteReference"/>
        </w:rPr>
        <w:footnoteReference w:id="9"/>
      </w:r>
    </w:p>
    <w:p>
      <w:pPr>
        <w:spacing w:after="0" w:before="0" w:line="480" w:lineRule="auto"/>
        <w:ind w:firstLine="720"/>
      </w:pPr>
      <w:r>
        <w:rPr>
          <w:rFonts w:ascii="Times New Roman" w:cs="Times New Roman" w:eastAsia="Times New Roman" w:hAnsi="Times New Roman"/>
          <w:sz w:val="24"/>
          <w:szCs w:val="24"/>
        </w:rPr>
        <w:t xml:space="preserve">The United States tried twice to reverse the revolution. On April 17, 1961, a CIA-trained force of 1,400 Cuban exiles landed at the Bay of Pigs; Kennedy refused to provide air cover, and the force was killed or captured within 72 hours. In October 1962, US reconnaissance aircraft photographed Soviet nuclear missile sites on Cuba’s north coast; for thirteen days the world came closer to nuclear war than at any other point in the Cold War, until Kennedy and Khrushchev agreed: Soviet missiles would leave Cuba; the United States would pledge not to invade.</w:t>
      </w:r>
      <w:r>
        <w:rPr>
          <w:rStyle w:val="FootnoteReference"/>
        </w:rPr>
        <w:footnoteReference w:id="10"/>
      </w:r>
      <w:r>
        <w:rPr>
          <w:rFonts w:ascii="Times New Roman" w:cs="Times New Roman" w:eastAsia="Times New Roman" w:hAnsi="Times New Roman"/>
          <w:sz w:val="24"/>
          <w:szCs w:val="24"/>
        </w:rPr>
        <w:t xml:space="preserve"> Cuba outlasted the deal. The US embargo, imposed in 1962, remained in place through the Soviet collapse. Castro exported revolution: 20,000 Cuban troops reached Angola by 1975 backing the MPLA, and Che Guevara died in Bolivia in October 1967, killed by the Bolivian Army with CIA assistance while trying to replicate the Cuban model.</w:t>
      </w:r>
    </w:p>
    <w:p>
      <w:pPr>
        <w:spacing w:after="0" w:before="120" w:line="480" w:lineRule="auto"/>
      </w:pPr>
      <w:r>
        <w:rPr>
          <w:rFonts w:ascii="Times New Roman" w:cs="Times New Roman" w:eastAsia="Times New Roman" w:hAnsi="Times New Roman"/>
          <w:b/>
          <w:bCs/>
          <w:sz w:val="24"/>
          <w:szCs w:val="24"/>
          <w:u w:val="single"/>
        </w:rPr>
        <w:t xml:space="preserve">South America — Chile: Foreign Military Involvement</w:t>
      </w:r>
    </w:p>
    <w:p>
      <w:pPr>
        <w:spacing w:after="0" w:before="0" w:line="480" w:lineRule="auto"/>
        <w:ind w:firstLine="720"/>
      </w:pPr>
      <w:r>
        <w:rPr>
          <w:rFonts w:ascii="Times New Roman" w:cs="Times New Roman" w:eastAsia="Times New Roman" w:hAnsi="Times New Roman"/>
          <w:sz w:val="24"/>
          <w:szCs w:val="24"/>
        </w:rPr>
        <w:t xml:space="preserve">Chile’s 1970 election produced an outcome that exposed the hard ceiling on US Cold War tolerance for democratic results. Salvador Allende won the presidency with a narrow plurality — the first democratically elected Marxist head of state anywhere in history. His victory came despite the CIA and private US corporations, including International Telephone &amp; Telegraph (ITT) and Anaconda Copper, funneling an estimated $2 million into his opponents’ campaigns — spending that would have been illegal if conducted within a US election.</w:t>
      </w:r>
      <w:r>
        <w:rPr>
          <w:rStyle w:val="FootnoteReference"/>
        </w:rPr>
        <w:footnoteReference w:id="11"/>
      </w:r>
    </w:p>
    <w:p>
      <w:pPr>
        <w:spacing w:after="0" w:before="0" w:line="480" w:lineRule="auto"/>
        <w:ind w:firstLine="720"/>
      </w:pPr>
      <w:r>
        <w:rPr>
          <w:rFonts w:ascii="Times New Roman" w:cs="Times New Roman" w:eastAsia="Times New Roman" w:hAnsi="Times New Roman"/>
          <w:sz w:val="24"/>
          <w:szCs w:val="24"/>
        </w:rPr>
        <w:t xml:space="preserve">Allende moved quickly. In 1971, his government nationalized the copper industry, including the Anaconda and Kennecott Copper Companies, which together controlled approximately 75 percent of Chile’s copper production, and International Telephone &amp; Telegraph. The Nixon administration instructed the CIA to “make the economy scream.” Between 1971 and 1973, the CIA spent an estimated $8 million destabilizing the Allende government: funding truck driver strikes that paralyzed the export economy, financing opposition media, and coordinating directly with Chilean military officers who were planning a coup. The 1975 Church Commission investigation in the US Congress confirmed the scale and direction of this covert operation.</w:t>
      </w:r>
      <w:r>
        <w:rPr>
          <w:rStyle w:val="FootnoteReference"/>
        </w:rPr>
        <w:footnoteReference w:id="12"/>
      </w:r>
    </w:p>
    <w:p>
      <w:pPr>
        <w:spacing w:after="0" w:before="0" w:line="480" w:lineRule="auto"/>
        <w:ind w:firstLine="720"/>
      </w:pPr>
      <w:r>
        <w:rPr>
          <w:rFonts w:ascii="Times New Roman" w:cs="Times New Roman" w:eastAsia="Times New Roman" w:hAnsi="Times New Roman"/>
          <w:sz w:val="24"/>
          <w:szCs w:val="24"/>
        </w:rPr>
        <w:t xml:space="preserve">On September 11, 1973, military jets bombed La Moneda presidential palace in Santiago; Allende died during the assault, whether by suicide or execution remains disputed. General Pinochet assumed power that day. The repression was systematic: Chile’s Rettig Commission documented at least 3,200 Chileans killed or disappeared between 1973 and 1990; the Valech Commission documented 28,000 cases of torture; approximately 200,000 Chileans were exiled. Operation Condor — a US-coordinated intelligence network linking Chile, Argentina, Uruguay, Paraguay, Bolivia, and Brazil, formally established in Santiago in November 1975 — shared intelligence and extradited or disappeared opponents across borders. Its most visible operation was a car bombing in Washington, D.C. on September 21, 1976, that killed former Chilean ambassador Orlando Letelier and his American colleague Ronni Moffitt.</w:t>
      </w:r>
      <w:r>
        <w:rPr>
          <w:rStyle w:val="FootnoteReference"/>
        </w:rPr>
        <w:footnoteReference w:id="13"/>
      </w:r>
    </w:p>
    <w:p>
      <w:pPr>
        <w:spacing w:after="0" w:before="0" w:line="480" w:lineRule="auto"/>
        <w:ind w:firstLine="720"/>
      </w:pPr>
      <w:r>
        <w:rPr>
          <w:rFonts w:ascii="Times New Roman" w:cs="Times New Roman" w:eastAsia="Times New Roman" w:hAnsi="Times New Roman"/>
          <w:sz w:val="24"/>
          <w:szCs w:val="24"/>
        </w:rPr>
        <w:t xml:space="preserve">Pinochet also served as the proving ground for neoliberal economic policy. University of Chicago-trained economists — the “Chicago Boys” trained under Milton Friedman and Arnold Harberger — dismantled state enterprises, slashed tariffs, and eliminated price controls at speeds unachievable through democratic deliberation. Their model produced short-term growth but compounded Chile’s debt crisis by the mid-1980s; more consequentially, it became the template for IMF structural adjustment programs imposed across Latin America under debt pressure in the 1980s and 1990s in Bolivia, Argentina, and Peru.</w:t>
      </w:r>
      <w:r>
        <w:rPr>
          <w:rStyle w:val="FootnoteReference"/>
        </w:rPr>
        <w:footnoteReference w:id="14"/>
      </w:r>
      <w:r>
        <w:rPr>
          <w:rFonts w:ascii="Times New Roman" w:cs="Times New Roman" w:eastAsia="Times New Roman" w:hAnsi="Times New Roman"/>
          <w:sz w:val="24"/>
          <w:szCs w:val="24"/>
        </w:rPr>
        <w:t xml:space="preserve"> Pinochet was arrested in London in October 1998 on a Spanish extradition warrant for crimes against Spanish citizens, establishing an international legal precedent for universal jurisdiction in human rights cases that remains operative today.</w:t>
      </w:r>
      <w:r>
        <w:rPr>
          <w:rStyle w:val="FootnoteReference"/>
        </w:rPr>
        <w:footnoteReference w:id="15"/>
      </w:r>
    </w:p>
    <w:p>
      <w:pPr>
        <w:spacing w:line="480" w:lineRule="auto"/>
        <w:jc w:val="center"/>
      </w:pPr>
      <w:r>
        <w:rPr>
          <w:rFonts w:ascii="Times New Roman" w:cs="Times New Roman" w:eastAsia="Times New Roman" w:hAnsi="Times New Roman"/>
          <w:b/>
          <w:bCs/>
          <w:sz w:val="24"/>
          <w:szCs w:val="24"/>
        </w:rPr>
        <w:t xml:space="preserve">QUESTION 2</w:t>
      </w:r>
    </w:p>
    <w:p>
      <w:pPr>
        <w:spacing w:after="0" w:before="120" w:line="480" w:lineRule="auto"/>
      </w:pPr>
      <w:r>
        <w:rPr>
          <w:rFonts w:ascii="Times New Roman" w:cs="Times New Roman" w:eastAsia="Times New Roman" w:hAnsi="Times New Roman"/>
          <w:b/>
          <w:bCs/>
          <w:sz w:val="24"/>
          <w:szCs w:val="24"/>
          <w:u w:val="single"/>
        </w:rPr>
        <w:t xml:space="preserve">Neo-Imperialism: Russia and the United States</w:t>
      </w:r>
    </w:p>
    <w:p>
      <w:pPr>
        <w:spacing w:after="0" w:before="0" w:line="480" w:lineRule="auto"/>
        <w:ind w:firstLine="720"/>
      </w:pPr>
      <w:r>
        <w:rPr>
          <w:rFonts w:ascii="Times New Roman" w:cs="Times New Roman" w:eastAsia="Times New Roman" w:hAnsi="Times New Roman"/>
          <w:sz w:val="24"/>
          <w:szCs w:val="24"/>
        </w:rPr>
        <w:t xml:space="preserve">Neo-imperialism describes how major powers exercise military, economic, and political control over weaker states in the post-colonial period without formal annexation. The mechanism shifts from direct colonial administration to proxy forces, military coups, selective intervention, and economic dependency — but the structural relationship is the same. Both Russia and the United States demonstrate the pattern in the post-Cold War period, and both demonstrate its central contradiction: neo-imperialism generates resistance without the administrative control needed to suppress it permanently.</w:t>
      </w:r>
    </w:p>
    <w:p>
      <w:pPr>
        <w:spacing w:after="0" w:before="0" w:line="480" w:lineRule="auto"/>
        <w:ind w:firstLine="720"/>
      </w:pPr>
      <w:r>
        <w:rPr>
          <w:rFonts w:ascii="Times New Roman" w:cs="Times New Roman" w:eastAsia="Times New Roman" w:hAnsi="Times New Roman"/>
          <w:sz w:val="24"/>
          <w:szCs w:val="24"/>
        </w:rPr>
        <w:t xml:space="preserve">Russia’s most direct neo-imperial act since 1945 was the full-scale invasion of Ukraine on February 24, 2022, the largest land war in Europe since World War II. Russia had been applying graduated pressure for years: it annexed Crimea in 2014 and backed separatists in Ukraine’s Donbas region, a coercion campaign that escalated to open conquest when Ukraine’s political orientation toward the EU continued. The human costs were immediate. Documented atrocities in Bucha preceded the International Criminal Court’s arrest warrant for President Putin in March 2023 for the deportation of Ukrainian children. By the end of 2022, the UNHCR had registered 6.7 million Ukrainian refugees in Europe, and Russia’s decision to cut natural gas supplies triggered an energy crisis that accelerated European infrastructure investment away from Russian dependence.</w:t>
      </w:r>
      <w:r>
        <w:rPr>
          <w:rStyle w:val="FootnoteReference"/>
        </w:rPr>
        <w:footnoteReference w:id="16"/>
      </w:r>
    </w:p>
    <w:p>
      <w:pPr>
        <w:spacing w:after="0" w:before="0" w:line="480" w:lineRule="auto"/>
        <w:ind w:firstLine="720"/>
      </w:pPr>
      <w:r>
        <w:rPr>
          <w:rFonts w:ascii="Times New Roman" w:cs="Times New Roman" w:eastAsia="Times New Roman" w:hAnsi="Times New Roman"/>
          <w:sz w:val="24"/>
          <w:szCs w:val="24"/>
        </w:rPr>
        <w:t xml:space="preserve">Russian neo-imperialism extends beyond Europe through Wagner Group, Yevgeny Prigozhin’s private military company. Wagner deployed to Syria from 2015, Libya from 2019, Mali and the Central African Republic from 2021, and Sudan from 2023 — projecting Russian influence without formal military commitment. In the Central African Republic, Wagner traded security guarantees for artisanal gold mining concessions: military leverage converted directly to resource extraction. Wagner’s internal contradictions surfaced in June 2023 when Prigozhin led an armed mutiny, advancing armored columns toward Moscow before standing down; his death in a plane crash in August 2023 exposed the fragility of Russia’s imperial network.</w:t>
      </w:r>
      <w:r>
        <w:rPr>
          <w:rStyle w:val="FootnoteReference"/>
        </w:rPr>
        <w:footnoteReference w:id="17"/>
      </w:r>
    </w:p>
    <w:p>
      <w:pPr>
        <w:spacing w:after="0" w:before="0" w:line="480" w:lineRule="auto"/>
        <w:ind w:firstLine="720"/>
      </w:pPr>
      <w:r>
        <w:rPr>
          <w:rFonts w:ascii="Times New Roman" w:cs="Times New Roman" w:eastAsia="Times New Roman" w:hAnsi="Times New Roman"/>
          <w:sz w:val="24"/>
          <w:szCs w:val="24"/>
        </w:rPr>
        <w:t xml:space="preserve">The United States’ record in Iraq and Afghanistan demonstrates the same pattern. The March 2003 invasion of Iraq rested on claims about weapons of mass destruction that proved entirely false. The Downing Street Memo, circulated in July 2002, showed British officials acknowledging that US intelligence was “being fixed around the policy” months before any UN vote was taken. The Abu Ghraib photographs, published in April 2004, documented systematic torture of Iraqi detainees by US military personnel; eleven soldiers were convicted, but no senior civilian or military officials faced criminal charges — a double standard that corroded US credibility across the Arab world. The power vacuum the invasion created generated ISIS, which seized Mosul on June 10, 2014, with approximately 1,500 fighters routing 30,000 Iraqi Army soldiers trained and equipped at enormous US expense.</w:t>
      </w:r>
      <w:r>
        <w:rPr>
          <w:rStyle w:val="FootnoteReference"/>
        </w:rPr>
        <w:footnoteReference w:id="18"/>
      </w:r>
    </w:p>
    <w:p>
      <w:pPr>
        <w:spacing w:after="0" w:before="0" w:line="480" w:lineRule="auto"/>
        <w:ind w:firstLine="720"/>
      </w:pPr>
      <w:r>
        <w:rPr>
          <w:rFonts w:ascii="Times New Roman" w:cs="Times New Roman" w:eastAsia="Times New Roman" w:hAnsi="Times New Roman"/>
          <w:sz w:val="24"/>
          <w:szCs w:val="24"/>
        </w:rPr>
        <w:t xml:space="preserve">Afghanistan cost an estimated $2.3 trillion over twenty years (Brown University Watson Institute, 2021), built an Afghan military that collapsed within days of the US departure, and ended on August 15, 2021, as the Taliban retook Kabul — the identical group the US had removed in 2001. Within weeks the Taliban banned women from secondary education, rolling back two decades of educational investment. The twenty-year intervention had not produced a stable state; it had produced a fully restored Taliban government with no remaining domestic challengers.</w:t>
      </w:r>
      <w:r>
        <w:rPr>
          <w:rStyle w:val="FootnoteReference"/>
        </w:rPr>
        <w:footnoteReference w:id="19"/>
      </w:r>
    </w:p>
    <w:p>
      <w:pPr>
        <w:spacing w:after="0" w:before="120" w:line="480" w:lineRule="auto"/>
      </w:pPr>
      <w:r>
        <w:rPr>
          <w:rFonts w:ascii="Times New Roman" w:cs="Times New Roman" w:eastAsia="Times New Roman" w:hAnsi="Times New Roman"/>
          <w:b/>
          <w:bCs/>
          <w:sz w:val="24"/>
          <w:szCs w:val="24"/>
          <w:u w:val="single"/>
        </w:rPr>
        <w:t xml:space="preserve">Democracy: South Africa and Brazil</w:t>
      </w:r>
    </w:p>
    <w:p>
      <w:pPr>
        <w:spacing w:after="0" w:before="0" w:line="480" w:lineRule="auto"/>
        <w:ind w:firstLine="720"/>
      </w:pPr>
      <w:r>
        <w:rPr>
          <w:rFonts w:ascii="Times New Roman" w:cs="Times New Roman" w:eastAsia="Times New Roman" w:hAnsi="Times New Roman"/>
          <w:sz w:val="24"/>
          <w:szCs w:val="24"/>
        </w:rPr>
        <w:t xml:space="preserve">Democracy is more than the act of voting. It requires institutions capable of distributing power, constraining those who hold it, and managing the economic frustrations that arise when elections change governments without changing the underlying distribution of wealth. South Africa and Brazil both held free elections after periods of authoritarian rule; both built institutions that functioned for a time; and both demonstrated how the gap between democratic form and democratic substance widens when inequality remains structurally unresolved.</w:t>
      </w:r>
    </w:p>
    <w:p>
      <w:pPr>
        <w:spacing w:after="0" w:before="0" w:line="480" w:lineRule="auto"/>
        <w:ind w:firstLine="720"/>
      </w:pPr>
      <w:r>
        <w:rPr>
          <w:rFonts w:ascii="Times New Roman" w:cs="Times New Roman" w:eastAsia="Times New Roman" w:hAnsi="Times New Roman"/>
          <w:sz w:val="24"/>
          <w:szCs w:val="24"/>
        </w:rPr>
        <w:t xml:space="preserve">South Africa’s democratic transition in 1994 was extraordinary. Nelson Mandela was released from prison on February 11, 1990, after 27 years of imprisonment. On April 27, 1994, approximately 20 million South Africans voted for the first time; the ANC won 62.6 percent of the vote.</w:t>
      </w:r>
      <w:r>
        <w:rPr>
          <w:rStyle w:val="FootnoteReference"/>
        </w:rPr>
        <w:footnoteReference w:id="20"/>
      </w:r>
      <w:r>
        <w:rPr>
          <w:rFonts w:ascii="Times New Roman" w:cs="Times New Roman" w:eastAsia="Times New Roman" w:hAnsi="Times New Roman"/>
          <w:sz w:val="24"/>
          <w:szCs w:val="24"/>
        </w:rPr>
        <w:t xml:space="preserve"> The Truth and Reconciliation Commission, chaired by Archbishop Desmond Tutu and established in 1995, heard over 7,000 cases and offered amnesty to perpetrators who made full disclosure of politically motivated crimes — a model that Rwanda’s gacaca courts and Sierra Leone’s Special Court subsequently drew on.</w:t>
      </w:r>
      <w:r>
        <w:rPr>
          <w:rStyle w:val="FootnoteReference"/>
        </w:rPr>
        <w:footnoteReference w:id="21"/>
      </w:r>
    </w:p>
    <w:p>
      <w:pPr>
        <w:spacing w:after="0" w:before="0" w:line="480" w:lineRule="auto"/>
        <w:ind w:firstLine="720"/>
      </w:pPr>
      <w:r>
        <w:rPr>
          <w:rFonts w:ascii="Times New Roman" w:cs="Times New Roman" w:eastAsia="Times New Roman" w:hAnsi="Times New Roman"/>
          <w:sz w:val="24"/>
          <w:szCs w:val="24"/>
        </w:rPr>
        <w:t xml:space="preserve">But the transition froze economic inequality in place. The ANC chose market-oriented policies that privatized state enterprises without redistributing mining wealth, locking apartheid-era economic disparities into the democratic-era legal structure. Jacob Zuma’s presidency (2009–2018) then systematically looted the institutions that remained. The Zondo Commission, established in 2018 under Chief Justice Raymond Zondo, documented “state capture” — systematic corruption by the Gupta family and Zuma associates across Eskom (the state power company), Transnet (freight logistics), and South African Airways — with estimates of approximately R500 billion, roughly $27 billion, stolen or wasted from the public fiscus.</w:t>
      </w:r>
      <w:r>
        <w:rPr>
          <w:rStyle w:val="FootnoteReference"/>
        </w:rPr>
        <w:footnoteReference w:id="22"/>
      </w:r>
      <w:r>
        <w:rPr>
          <w:rFonts w:ascii="Times New Roman" w:cs="Times New Roman" w:eastAsia="Times New Roman" w:hAnsi="Times New Roman"/>
          <w:sz w:val="24"/>
          <w:szCs w:val="24"/>
        </w:rPr>
        <w:t xml:space="preserve"> By 2023, unemployment stood at 32.9 percent; daily twelve-hour power cuts paralyzed economic activity; and in the May 2024 general election the ANC received 40.2 percent of the vote — the first time below a parliamentary majority since 1994, forcing an unprecedented coalition government.</w:t>
      </w:r>
    </w:p>
    <w:p>
      <w:pPr>
        <w:spacing w:after="0" w:before="0" w:line="480" w:lineRule="auto"/>
        <w:ind w:firstLine="720"/>
      </w:pPr>
      <w:r>
        <w:rPr>
          <w:rFonts w:ascii="Times New Roman" w:cs="Times New Roman" w:eastAsia="Times New Roman" w:hAnsi="Times New Roman"/>
          <w:sz w:val="24"/>
          <w:szCs w:val="24"/>
        </w:rPr>
        <w:t xml:space="preserve">Brazil’s democratic arc follows a parallel trajectory. Luiz Inácio “Lula” da Silva won the 2002 presidential election — the first working-class president in Brazil’s history — and his Bolsa Família program lifted approximately 20 million people from extreme poverty between 2003 and 2010. But the gains rested on commodity boom revenues without structural reform. Jair Bolsonaro, elected in 2018, oversaw Amazon deforestation that reached 11,568 square kilometers in 2022 — the highest annual figure since 2006, per Brazil’s National Institute for Space Research (INPE) — and a COVID-19 vaccine rollout his own health secretariat linked to hundreds of thousands of excess deaths.</w:t>
      </w:r>
      <w:r>
        <w:rPr>
          <w:rStyle w:val="FootnoteReference"/>
        </w:rPr>
        <w:footnoteReference w:id="23"/>
      </w:r>
    </w:p>
    <w:p>
      <w:pPr>
        <w:spacing w:after="0" w:before="0" w:line="480" w:lineRule="auto"/>
        <w:ind w:firstLine="720"/>
      </w:pPr>
      <w:r>
        <w:rPr>
          <w:rFonts w:ascii="Times New Roman" w:cs="Times New Roman" w:eastAsia="Times New Roman" w:hAnsi="Times New Roman"/>
          <w:sz w:val="24"/>
          <w:szCs w:val="24"/>
        </w:rPr>
        <w:t xml:space="preserve">Lula won the October 2022 runoff election 50.9 percent to 49.1 percent, in the most polarized contest in the country’s modern history. Bolsonaro refused to concede. On January 8, 2023, thousands of his supporters stormed the Congress building, the Supreme Court, and the Presidential Palace in Brasília — a direct parallel to the US Capitol attack of January 6, 2021. Bolsonaro was in Florida at the time; over 1,500 people were arrested and more than 200 were sentenced to prison terms. The January 8 attack, alongside Argentina’s election of Javier Milei in November 2023 on a chainsaw-wielding “anti-system” platform after decades of inflation and IMF negotiations, demonstrated a pattern that spans South Africa, Brazil, and beyond: when inequality remains structurally unresolved, democracy’s institutions can be sustained in form while being hollowed out from within by leaders who convert economic frustration into attacks on electoral legitimacy itself.</w:t>
      </w:r>
      <w:r>
        <w:rPr>
          <w:rStyle w:val="FootnoteReference"/>
        </w:rPr>
        <w:footnoteReference w:id="24"/>
      </w:r>
    </w:p>
    <w:p>
      <w:pPr>
        <w:spacing w:line="480" w:lineRule="auto"/>
        <w:jc w:val="center"/>
      </w:pPr>
      <w:r>
        <w:rPr>
          <w:rFonts w:ascii="Times New Roman" w:cs="Times New Roman" w:eastAsia="Times New Roman" w:hAnsi="Times New Roman"/>
          <w:b/>
          <w:bCs/>
          <w:sz w:val="24"/>
          <w:szCs w:val="24"/>
        </w:rPr>
        <w:t xml:space="preserve">Bibliography</w:t>
      </w:r>
    </w:p>
    <w:p>
      <w:pPr>
        <w:spacing w:after="120" w:before="0" w:line="240" w:lineRule="auto"/>
        <w:ind w:left="720" w:hanging="720"/>
      </w:pPr>
      <w:r>
        <w:rPr>
          <w:rFonts w:ascii="Times New Roman" w:cs="Times New Roman" w:eastAsia="Times New Roman" w:hAnsi="Times New Roman"/>
          <w:sz w:val="24"/>
          <w:szCs w:val="24"/>
        </w:rPr>
        <w:t xml:space="preserve">“Brazil’s Congress Attack: What Happened on January 8?” BBC News, January 9, 2023. https://www.bbc.com/news/world-latin-america-64196421.</w:t>
      </w:r>
    </w:p>
    <w:p>
      <w:pPr>
        <w:spacing w:after="120" w:before="0" w:line="240" w:lineRule="auto"/>
        <w:ind w:left="720" w:hanging="720"/>
      </w:pPr>
      <w:r>
        <w:rPr>
          <w:rFonts w:ascii="Times New Roman" w:cs="Times New Roman" w:eastAsia="Times New Roman" w:hAnsi="Times New Roman"/>
          <w:sz w:val="24"/>
          <w:szCs w:val="24"/>
        </w:rPr>
        <w:t xml:space="preserve">“The Biafran Crisis: How Famine Redefined Humanitarianism.” Retrospect Journal, April 13, 2025. https://retrospectjournal.com/2025/04/13/the-biafran-crisis-how-famine-redefined-humanitarianism/.</w:t>
      </w:r>
    </w:p>
    <w:p>
      <w:pPr>
        <w:spacing w:after="120" w:before="0" w:line="240" w:lineRule="auto"/>
        <w:ind w:left="720" w:hanging="720"/>
      </w:pPr>
      <w:r>
        <w:rPr>
          <w:rFonts w:ascii="Times New Roman" w:cs="Times New Roman" w:eastAsia="Times New Roman" w:hAnsi="Times New Roman"/>
          <w:sz w:val="24"/>
          <w:szCs w:val="24"/>
        </w:rPr>
        <w:t xml:space="preserve">Crawford, Neta C. “The Pentagon’s Budgetary Cost of the Post-9/11 Wars.” Watson Institute for International and Public Affairs, Brown University, September 2021. https://watson.brown.edu/costsofwar/.</w:t>
      </w:r>
    </w:p>
    <w:p>
      <w:pPr>
        <w:spacing w:after="120" w:before="0" w:line="240" w:lineRule="auto"/>
        <w:ind w:left="720" w:hanging="720"/>
      </w:pPr>
      <w:r>
        <w:rPr>
          <w:rFonts w:ascii="Times New Roman" w:cs="Times New Roman" w:eastAsia="Times New Roman" w:hAnsi="Times New Roman"/>
          <w:sz w:val="24"/>
          <w:szCs w:val="24"/>
        </w:rPr>
        <w:t xml:space="preserve">Human Rights Watch. “When Tyrants Tremble: The Pinochet Case.” 1999. https://www.hrw.org/reports/1999/chile/Patrick-01.htm.</w:t>
      </w:r>
    </w:p>
    <w:p>
      <w:pPr>
        <w:spacing w:after="120" w:before="0" w:line="240" w:lineRule="auto"/>
        <w:ind w:left="720" w:hanging="720"/>
      </w:pPr>
      <w:r>
        <w:rPr>
          <w:rFonts w:ascii="Times New Roman" w:cs="Times New Roman" w:eastAsia="Times New Roman" w:hAnsi="Times New Roman"/>
          <w:sz w:val="24"/>
          <w:szCs w:val="24"/>
        </w:rPr>
        <w:t xml:space="preserve">Instituto Nacional de Pesquisas Espaciais (INPE). PRODES Deforestation Rates in the Brazilian Amazon. Brasília: INPE, 2022.</w:t>
      </w:r>
    </w:p>
    <w:p>
      <w:pPr>
        <w:spacing w:after="120" w:before="0" w:line="240" w:lineRule="auto"/>
        <w:ind w:left="720" w:hanging="720"/>
      </w:pPr>
      <w:r>
        <w:rPr>
          <w:rFonts w:ascii="Times New Roman" w:cs="Times New Roman" w:eastAsia="Times New Roman" w:hAnsi="Times New Roman"/>
          <w:sz w:val="24"/>
          <w:szCs w:val="24"/>
        </w:rPr>
        <w:t xml:space="preserve">Jones, Jeffrey W. Contemporary World History Since 1945. New York: Routledge, 2026.</w:t>
      </w:r>
    </w:p>
    <w:p>
      <w:pPr>
        <w:spacing w:after="120" w:before="0" w:line="240" w:lineRule="auto"/>
        <w:ind w:left="720" w:hanging="720"/>
      </w:pPr>
      <w:r>
        <w:rPr>
          <w:rFonts w:ascii="Times New Roman" w:cs="Times New Roman" w:eastAsia="Times New Roman" w:hAnsi="Times New Roman"/>
          <w:sz w:val="24"/>
          <w:szCs w:val="24"/>
        </w:rPr>
        <w:t xml:space="preserve">National Security Archive, George Washington University. “Chile and the United States: Declassified Documents Relating to the Military Coup, September 11, 1973.” https://nsarchive2.gwu.edu/NSAEBB/NSAEBB8/nsaebb8i.htm.</w:t>
      </w:r>
    </w:p>
    <w:p>
      <w:pPr>
        <w:spacing w:after="120" w:before="0" w:line="240" w:lineRule="auto"/>
        <w:ind w:left="720" w:hanging="720"/>
      </w:pPr>
      <w:r>
        <w:rPr>
          <w:rFonts w:ascii="Times New Roman" w:cs="Times New Roman" w:eastAsia="Times New Roman" w:hAnsi="Times New Roman"/>
          <w:sz w:val="24"/>
          <w:szCs w:val="24"/>
        </w:rPr>
        <w:t xml:space="preserve">Republic of South Africa. Judicial Commission of Inquiry into Allegations of State Capture [Zondo Commission], Final Report, Vol. I. Pretoria, 2022.</w:t>
      </w:r>
    </w:p>
    <w:p>
      <w:pPr>
        <w:spacing w:after="120" w:before="0" w:line="240" w:lineRule="auto"/>
        <w:ind w:left="720" w:hanging="720"/>
      </w:pPr>
      <w:r>
        <w:rPr>
          <w:rFonts w:ascii="Times New Roman" w:cs="Times New Roman" w:eastAsia="Times New Roman" w:hAnsi="Times New Roman"/>
          <w:sz w:val="24"/>
          <w:szCs w:val="24"/>
        </w:rPr>
        <w:t xml:space="preserve">United Nations Panel of Experts on the Central African Republic. Final Report. New York: UN Security Council, 2022.</w:t>
      </w:r>
    </w:p>
    <w:p>
      <w:pPr>
        <w:spacing w:after="120" w:before="0" w:line="240" w:lineRule="auto"/>
        <w:ind w:left="720" w:hanging="720"/>
      </w:pPr>
      <w:r>
        <w:rPr>
          <w:rFonts w:ascii="Times New Roman" w:cs="Times New Roman" w:eastAsia="Times New Roman" w:hAnsi="Times New Roman"/>
          <w:sz w:val="24"/>
          <w:szCs w:val="24"/>
        </w:rPr>
        <w:t xml:space="preserve">United States Holocaust Memorial Museum. “Genocide Fax: Part I.” Accessed June 30, 2026. https://www.ushmm.org/genocide-prevention/countries/rwanda/turning-points/genocide-fax-part-i.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t xml:space="preserve">Gupta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lineRule="auto"/>
      </w:pPr>
      <w:r>
        <w:rPr>
          <w:rStyle w:val="FootnoteReference"/>
        </w:rPr>
        <w:footnoteRef/>
      </w:r>
      <w:r>
        <w:rPr>
          <w:rFonts w:ascii="Times New Roman" w:cs="Times New Roman" w:eastAsia="Times New Roman" w:hAnsi="Times New Roman"/>
          <w:sz w:val="18"/>
          <w:szCs w:val="18"/>
        </w:rPr>
        <w:t xml:space="preserve">Jeffrey W. Jones, </w:t>
      </w:r>
      <w:r>
        <w:rPr>
          <w:rFonts w:ascii="Times New Roman" w:cs="Times New Roman" w:eastAsia="Times New Roman" w:hAnsi="Times New Roman"/>
          <w:i/>
          <w:iCs/>
          <w:sz w:val="18"/>
          <w:szCs w:val="18"/>
        </w:rPr>
        <w:t xml:space="preserve">Contemporary World History Since 1945 </w:t>
      </w:r>
      <w:r>
        <w:rPr>
          <w:rFonts w:ascii="Times New Roman" w:cs="Times New Roman" w:eastAsia="Times New Roman" w:hAnsi="Times New Roman"/>
          <w:sz w:val="18"/>
          <w:szCs w:val="18"/>
        </w:rPr>
        <w:t xml:space="preserve">(New York: Routledge, 2026), pp. 235–237.</w:t>
      </w:r>
    </w:p>
  </w:footnote>
  <w:footnote w:id="2">
    <w:p>
      <w:pPr>
        <w:spacing w:line="240" w:lineRule="auto"/>
      </w:pPr>
      <w:r>
        <w:rPr>
          <w:rStyle w:val="FootnoteReference"/>
        </w:rPr>
        <w:footnoteRef/>
      </w:r>
      <w:r>
        <w:rPr>
          <w:rFonts w:ascii="Times New Roman" w:cs="Times New Roman" w:eastAsia="Times New Roman" w:hAnsi="Times New Roman"/>
          <w:sz w:val="18"/>
          <w:szCs w:val="18"/>
        </w:rPr>
        <w:t xml:space="preserve">Jeffrey W. Jones, </w:t>
      </w:r>
      <w:r>
        <w:rPr>
          <w:rFonts w:ascii="Times New Roman" w:cs="Times New Roman" w:eastAsia="Times New Roman" w:hAnsi="Times New Roman"/>
          <w:i/>
          <w:iCs/>
          <w:sz w:val="18"/>
          <w:szCs w:val="18"/>
        </w:rPr>
        <w:t xml:space="preserve">Contemporary World History Since 1945 </w:t>
      </w:r>
      <w:r>
        <w:rPr>
          <w:rFonts w:ascii="Times New Roman" w:cs="Times New Roman" w:eastAsia="Times New Roman" w:hAnsi="Times New Roman"/>
          <w:sz w:val="18"/>
          <w:szCs w:val="18"/>
        </w:rPr>
        <w:t xml:space="preserve">(New York: Routledge, 2026), pp. 237–238.</w:t>
      </w:r>
    </w:p>
  </w:footnote>
  <w:footnote w:id="3">
    <w:p>
      <w:pPr>
        <w:spacing w:line="240" w:lineRule="auto"/>
      </w:pPr>
      <w:r>
        <w:rPr>
          <w:rStyle w:val="FootnoteReference"/>
        </w:rPr>
        <w:footnoteRef/>
      </w:r>
      <w:r>
        <w:rPr>
          <w:rFonts w:ascii="Times New Roman" w:cs="Times New Roman" w:eastAsia="Times New Roman" w:hAnsi="Times New Roman"/>
          <w:sz w:val="18"/>
          <w:szCs w:val="18"/>
        </w:rPr>
        <w:t xml:space="preserve">United States Holocaust Memorial Museum, “Genocide Fax: Part I,” accessed June 30, 2026, https://www.ushmm.org/genocide-prevention/countries/rwanda/turning-points/genocide-fax-part-i.</w:t>
      </w:r>
    </w:p>
  </w:footnote>
  <w:footnote w:id="4">
    <w:p>
      <w:pPr>
        <w:spacing w:line="240" w:lineRule="auto"/>
      </w:pPr>
      <w:r>
        <w:rPr>
          <w:rStyle w:val="FootnoteReference"/>
        </w:rPr>
        <w:footnoteRef/>
      </w:r>
      <w:r>
        <w:rPr>
          <w:rFonts w:ascii="Times New Roman" w:cs="Times New Roman" w:eastAsia="Times New Roman" w:hAnsi="Times New Roman"/>
          <w:sz w:val="18"/>
          <w:szCs w:val="18"/>
        </w:rPr>
        <w:t xml:space="preserve">Jones, </w:t>
      </w:r>
      <w:r>
        <w:rPr>
          <w:rFonts w:ascii="Times New Roman" w:cs="Times New Roman" w:eastAsia="Times New Roman" w:hAnsi="Times New Roman"/>
          <w:i/>
          <w:iCs/>
          <w:sz w:val="18"/>
          <w:szCs w:val="18"/>
        </w:rPr>
        <w:t xml:space="preserve">Contemporary World History Since 1945</w:t>
      </w:r>
      <w:r>
        <w:rPr>
          <w:rFonts w:ascii="Times New Roman" w:cs="Times New Roman" w:eastAsia="Times New Roman" w:hAnsi="Times New Roman"/>
          <w:sz w:val="18"/>
          <w:szCs w:val="18"/>
        </w:rPr>
        <w:t xml:space="preserve">, p. 239.</w:t>
      </w:r>
    </w:p>
  </w:footnote>
  <w:footnote w:id="5">
    <w:p>
      <w:pPr>
        <w:spacing w:line="240" w:lineRule="auto"/>
      </w:pPr>
      <w:r>
        <w:rPr>
          <w:rStyle w:val="FootnoteReference"/>
        </w:rPr>
        <w:footnoteRef/>
      </w:r>
      <w:r>
        <w:rPr>
          <w:rFonts w:ascii="Times New Roman" w:cs="Times New Roman" w:eastAsia="Times New Roman" w:hAnsi="Times New Roman"/>
          <w:sz w:val="18"/>
          <w:szCs w:val="18"/>
        </w:rPr>
        <w:t xml:space="preserve">Jones, </w:t>
      </w:r>
      <w:r>
        <w:rPr>
          <w:rFonts w:ascii="Times New Roman" w:cs="Times New Roman" w:eastAsia="Times New Roman" w:hAnsi="Times New Roman"/>
          <w:i/>
          <w:iCs/>
          <w:sz w:val="18"/>
          <w:szCs w:val="18"/>
        </w:rPr>
        <w:t xml:space="preserve">Contemporary World History Since 1945</w:t>
      </w:r>
      <w:r>
        <w:rPr>
          <w:rFonts w:ascii="Times New Roman" w:cs="Times New Roman" w:eastAsia="Times New Roman" w:hAnsi="Times New Roman"/>
          <w:sz w:val="18"/>
          <w:szCs w:val="18"/>
        </w:rPr>
        <w:t xml:space="preserve">, pp. 239, 242.</w:t>
      </w:r>
    </w:p>
  </w:footnote>
  <w:footnote w:id="6">
    <w:p>
      <w:pPr>
        <w:spacing w:line="240" w:lineRule="auto"/>
      </w:pPr>
      <w:r>
        <w:rPr>
          <w:rStyle w:val="FootnoteReference"/>
        </w:rPr>
        <w:footnoteRef/>
      </w:r>
      <w:r>
        <w:rPr>
          <w:rFonts w:ascii="Times New Roman" w:cs="Times New Roman" w:eastAsia="Times New Roman" w:hAnsi="Times New Roman"/>
          <w:sz w:val="18"/>
          <w:szCs w:val="18"/>
        </w:rPr>
        <w:t xml:space="preserve">Jones, </w:t>
      </w:r>
      <w:r>
        <w:rPr>
          <w:rFonts w:ascii="Times New Roman" w:cs="Times New Roman" w:eastAsia="Times New Roman" w:hAnsi="Times New Roman"/>
          <w:i/>
          <w:iCs/>
          <w:sz w:val="18"/>
          <w:szCs w:val="18"/>
        </w:rPr>
        <w:t xml:space="preserve">Contemporary World History Since 1945</w:t>
      </w:r>
      <w:r>
        <w:rPr>
          <w:rFonts w:ascii="Times New Roman" w:cs="Times New Roman" w:eastAsia="Times New Roman" w:hAnsi="Times New Roman"/>
          <w:sz w:val="18"/>
          <w:szCs w:val="18"/>
        </w:rPr>
        <w:t xml:space="preserve">, p. 240.</w:t>
      </w:r>
    </w:p>
  </w:footnote>
  <w:footnote w:id="7">
    <w:p>
      <w:pPr>
        <w:spacing w:line="240" w:lineRule="auto"/>
      </w:pPr>
      <w:r>
        <w:rPr>
          <w:rStyle w:val="FootnoteReference"/>
        </w:rPr>
        <w:footnoteRef/>
      </w:r>
      <w:r>
        <w:rPr>
          <w:rFonts w:ascii="Times New Roman" w:cs="Times New Roman" w:eastAsia="Times New Roman" w:hAnsi="Times New Roman"/>
          <w:sz w:val="18"/>
          <w:szCs w:val="18"/>
        </w:rPr>
        <w:t xml:space="preserve">Jeffrey W. Jones, </w:t>
      </w:r>
      <w:r>
        <w:rPr>
          <w:rFonts w:ascii="Times New Roman" w:cs="Times New Roman" w:eastAsia="Times New Roman" w:hAnsi="Times New Roman"/>
          <w:i/>
          <w:iCs/>
          <w:sz w:val="18"/>
          <w:szCs w:val="18"/>
        </w:rPr>
        <w:t xml:space="preserve">Contemporary World History Since 1945 </w:t>
      </w:r>
      <w:r>
        <w:rPr>
          <w:rFonts w:ascii="Times New Roman" w:cs="Times New Roman" w:eastAsia="Times New Roman" w:hAnsi="Times New Roman"/>
          <w:sz w:val="18"/>
          <w:szCs w:val="18"/>
        </w:rPr>
        <w:t xml:space="preserve">(New York: Routledge, 2026), p. 200.</w:t>
      </w:r>
    </w:p>
  </w:footnote>
  <w:footnote w:id="8">
    <w:p>
      <w:pPr>
        <w:spacing w:line="240" w:lineRule="auto"/>
      </w:pPr>
      <w:r>
        <w:rPr>
          <w:rStyle w:val="FootnoteReference"/>
        </w:rPr>
        <w:footnoteRef/>
      </w:r>
      <w:r>
        <w:rPr>
          <w:rFonts w:ascii="Times New Roman" w:cs="Times New Roman" w:eastAsia="Times New Roman" w:hAnsi="Times New Roman"/>
          <w:sz w:val="18"/>
          <w:szCs w:val="18"/>
        </w:rPr>
        <w:t xml:space="preserve">“The Biafran Crisis: How Famine Redefined Humanitarianism,” </w:t>
      </w:r>
      <w:r>
        <w:rPr>
          <w:rFonts w:ascii="Times New Roman" w:cs="Times New Roman" w:eastAsia="Times New Roman" w:hAnsi="Times New Roman"/>
          <w:i/>
          <w:iCs/>
          <w:sz w:val="18"/>
          <w:szCs w:val="18"/>
        </w:rPr>
        <w:t xml:space="preserve">Retrospect Journal</w:t>
      </w:r>
      <w:r>
        <w:rPr>
          <w:rFonts w:ascii="Times New Roman" w:cs="Times New Roman" w:eastAsia="Times New Roman" w:hAnsi="Times New Roman"/>
          <w:sz w:val="18"/>
          <w:szCs w:val="18"/>
        </w:rPr>
        <w:t xml:space="preserve">, April 13, 2025, https://retrospectjournal.com/2025/04/13/the-biafran-crisis-how-famine-redefined-humanitarianism/.</w:t>
      </w:r>
    </w:p>
  </w:footnote>
  <w:footnote w:id="9">
    <w:p>
      <w:pPr>
        <w:spacing w:line="240" w:lineRule="auto"/>
      </w:pPr>
      <w:r>
        <w:rPr>
          <w:rStyle w:val="FootnoteReference"/>
        </w:rPr>
        <w:footnoteRef/>
      </w:r>
      <w:r>
        <w:rPr>
          <w:rFonts w:ascii="Times New Roman" w:cs="Times New Roman" w:eastAsia="Times New Roman" w:hAnsi="Times New Roman"/>
          <w:sz w:val="18"/>
          <w:szCs w:val="18"/>
        </w:rPr>
        <w:t xml:space="preserve">Jeffrey W. Jones, </w:t>
      </w:r>
      <w:r>
        <w:rPr>
          <w:rFonts w:ascii="Times New Roman" w:cs="Times New Roman" w:eastAsia="Times New Roman" w:hAnsi="Times New Roman"/>
          <w:i/>
          <w:iCs/>
          <w:sz w:val="18"/>
          <w:szCs w:val="18"/>
        </w:rPr>
        <w:t xml:space="preserve">Contemporary World History Since 1945 </w:t>
      </w:r>
      <w:r>
        <w:rPr>
          <w:rFonts w:ascii="Times New Roman" w:cs="Times New Roman" w:eastAsia="Times New Roman" w:hAnsi="Times New Roman"/>
          <w:sz w:val="18"/>
          <w:szCs w:val="18"/>
        </w:rPr>
        <w:t xml:space="preserve">(New York: Routledge, 2026), pp. 295–296.</w:t>
      </w:r>
    </w:p>
  </w:footnote>
  <w:footnote w:id="10">
    <w:p>
      <w:pPr>
        <w:spacing w:line="240" w:lineRule="auto"/>
      </w:pPr>
      <w:r>
        <w:rPr>
          <w:rStyle w:val="FootnoteReference"/>
        </w:rPr>
        <w:footnoteRef/>
      </w:r>
      <w:r>
        <w:rPr>
          <w:rFonts w:ascii="Times New Roman" w:cs="Times New Roman" w:eastAsia="Times New Roman" w:hAnsi="Times New Roman"/>
          <w:sz w:val="18"/>
          <w:szCs w:val="18"/>
        </w:rPr>
        <w:t xml:space="preserve">Jones, </w:t>
      </w:r>
      <w:r>
        <w:rPr>
          <w:rFonts w:ascii="Times New Roman" w:cs="Times New Roman" w:eastAsia="Times New Roman" w:hAnsi="Times New Roman"/>
          <w:i/>
          <w:iCs/>
          <w:sz w:val="18"/>
          <w:szCs w:val="18"/>
        </w:rPr>
        <w:t xml:space="preserve">Contemporary World History Since 1945</w:t>
      </w:r>
      <w:r>
        <w:rPr>
          <w:rFonts w:ascii="Times New Roman" w:cs="Times New Roman" w:eastAsia="Times New Roman" w:hAnsi="Times New Roman"/>
          <w:sz w:val="18"/>
          <w:szCs w:val="18"/>
        </w:rPr>
        <w:t xml:space="preserve">, pp. 296–297.</w:t>
      </w:r>
    </w:p>
  </w:footnote>
  <w:footnote w:id="11">
    <w:p>
      <w:pPr>
        <w:spacing w:line="240" w:lineRule="auto"/>
      </w:pPr>
      <w:r>
        <w:rPr>
          <w:rStyle w:val="FootnoteReference"/>
        </w:rPr>
        <w:footnoteRef/>
      </w:r>
      <w:r>
        <w:rPr>
          <w:rFonts w:ascii="Times New Roman" w:cs="Times New Roman" w:eastAsia="Times New Roman" w:hAnsi="Times New Roman"/>
          <w:sz w:val="18"/>
          <w:szCs w:val="18"/>
        </w:rPr>
        <w:t xml:space="preserve">Jeffrey W. Jones, </w:t>
      </w:r>
      <w:r>
        <w:rPr>
          <w:rFonts w:ascii="Times New Roman" w:cs="Times New Roman" w:eastAsia="Times New Roman" w:hAnsi="Times New Roman"/>
          <w:i/>
          <w:iCs/>
          <w:sz w:val="18"/>
          <w:szCs w:val="18"/>
        </w:rPr>
        <w:t xml:space="preserve">Contemporary World History Since 1945 </w:t>
      </w:r>
      <w:r>
        <w:rPr>
          <w:rFonts w:ascii="Times New Roman" w:cs="Times New Roman" w:eastAsia="Times New Roman" w:hAnsi="Times New Roman"/>
          <w:sz w:val="18"/>
          <w:szCs w:val="18"/>
        </w:rPr>
        <w:t xml:space="preserve">(New York: Routledge, 2026), pp. 271–272.</w:t>
      </w:r>
    </w:p>
  </w:footnote>
  <w:footnote w:id="12">
    <w:p>
      <w:pPr>
        <w:spacing w:line="240" w:lineRule="auto"/>
      </w:pPr>
      <w:r>
        <w:rPr>
          <w:rStyle w:val="FootnoteReference"/>
        </w:rPr>
        <w:footnoteRef/>
      </w:r>
      <w:r>
        <w:rPr>
          <w:rFonts w:ascii="Times New Roman" w:cs="Times New Roman" w:eastAsia="Times New Roman" w:hAnsi="Times New Roman"/>
          <w:sz w:val="18"/>
          <w:szCs w:val="18"/>
        </w:rPr>
        <w:t xml:space="preserve">Jones, </w:t>
      </w:r>
      <w:r>
        <w:rPr>
          <w:rFonts w:ascii="Times New Roman" w:cs="Times New Roman" w:eastAsia="Times New Roman" w:hAnsi="Times New Roman"/>
          <w:i/>
          <w:iCs/>
          <w:sz w:val="18"/>
          <w:szCs w:val="18"/>
        </w:rPr>
        <w:t xml:space="preserve">Contemporary World History Since 1945</w:t>
      </w:r>
      <w:r>
        <w:rPr>
          <w:rFonts w:ascii="Times New Roman" w:cs="Times New Roman" w:eastAsia="Times New Roman" w:hAnsi="Times New Roman"/>
          <w:sz w:val="18"/>
          <w:szCs w:val="18"/>
        </w:rPr>
        <w:t xml:space="preserve">, pp. 272–273.</w:t>
      </w:r>
    </w:p>
  </w:footnote>
  <w:footnote w:id="13">
    <w:p>
      <w:pPr>
        <w:spacing w:line="240" w:lineRule="auto"/>
      </w:pPr>
      <w:r>
        <w:rPr>
          <w:rStyle w:val="FootnoteReference"/>
        </w:rPr>
        <w:footnoteRef/>
      </w:r>
      <w:r>
        <w:rPr>
          <w:rFonts w:ascii="Times New Roman" w:cs="Times New Roman" w:eastAsia="Times New Roman" w:hAnsi="Times New Roman"/>
          <w:sz w:val="18"/>
          <w:szCs w:val="18"/>
        </w:rPr>
        <w:t xml:space="preserve">National Security Archive, George Washington University, “Chile and the United States: Declassified Documents Relating to the Military Coup, September 11, 1973,” https://nsarchive2.gwu.edu/NSAEBB/NSAEBB8/nsaebb8i.htm.</w:t>
      </w:r>
    </w:p>
  </w:footnote>
  <w:footnote w:id="14">
    <w:p>
      <w:pPr>
        <w:spacing w:line="240" w:lineRule="auto"/>
      </w:pPr>
      <w:r>
        <w:rPr>
          <w:rStyle w:val="FootnoteReference"/>
        </w:rPr>
        <w:footnoteRef/>
      </w:r>
      <w:r>
        <w:rPr>
          <w:rFonts w:ascii="Times New Roman" w:cs="Times New Roman" w:eastAsia="Times New Roman" w:hAnsi="Times New Roman"/>
          <w:sz w:val="18"/>
          <w:szCs w:val="18"/>
        </w:rPr>
        <w:t xml:space="preserve">Jones, </w:t>
      </w:r>
      <w:r>
        <w:rPr>
          <w:rFonts w:ascii="Times New Roman" w:cs="Times New Roman" w:eastAsia="Times New Roman" w:hAnsi="Times New Roman"/>
          <w:i/>
          <w:iCs/>
          <w:sz w:val="18"/>
          <w:szCs w:val="18"/>
        </w:rPr>
        <w:t xml:space="preserve">Contemporary World History Since 1945</w:t>
      </w:r>
      <w:r>
        <w:rPr>
          <w:rFonts w:ascii="Times New Roman" w:cs="Times New Roman" w:eastAsia="Times New Roman" w:hAnsi="Times New Roman"/>
          <w:sz w:val="18"/>
          <w:szCs w:val="18"/>
        </w:rPr>
        <w:t xml:space="preserve">, pp. 273–274.</w:t>
      </w:r>
    </w:p>
  </w:footnote>
  <w:footnote w:id="15">
    <w:p>
      <w:pPr>
        <w:spacing w:line="240" w:lineRule="auto"/>
      </w:pPr>
      <w:r>
        <w:rPr>
          <w:rStyle w:val="FootnoteReference"/>
        </w:rPr>
        <w:footnoteRef/>
      </w:r>
      <w:r>
        <w:rPr>
          <w:rFonts w:ascii="Times New Roman" w:cs="Times New Roman" w:eastAsia="Times New Roman" w:hAnsi="Times New Roman"/>
          <w:sz w:val="18"/>
          <w:szCs w:val="18"/>
        </w:rPr>
        <w:t xml:space="preserve">Human Rights Watch, “When Tyrants Tremble: The Pinochet Case,” 1999, https://www.hrw.org/reports/1999/chile/Patrick-01.htm.</w:t>
      </w:r>
    </w:p>
  </w:footnote>
  <w:footnote w:id="16">
    <w:p>
      <w:pPr>
        <w:spacing w:line="240" w:lineRule="auto"/>
      </w:pPr>
      <w:r>
        <w:rPr>
          <w:rStyle w:val="FootnoteReference"/>
        </w:rPr>
        <w:footnoteRef/>
      </w:r>
      <w:r>
        <w:rPr>
          <w:rFonts w:ascii="Times New Roman" w:cs="Times New Roman" w:eastAsia="Times New Roman" w:hAnsi="Times New Roman"/>
          <w:sz w:val="18"/>
          <w:szCs w:val="18"/>
        </w:rPr>
        <w:t xml:space="preserve">Jeffrey W. Jones, </w:t>
      </w:r>
      <w:r>
        <w:rPr>
          <w:rFonts w:ascii="Times New Roman" w:cs="Times New Roman" w:eastAsia="Times New Roman" w:hAnsi="Times New Roman"/>
          <w:i/>
          <w:iCs/>
          <w:sz w:val="18"/>
          <w:szCs w:val="18"/>
        </w:rPr>
        <w:t xml:space="preserve">Contemporary World History Since 1945 </w:t>
      </w:r>
      <w:r>
        <w:rPr>
          <w:rFonts w:ascii="Times New Roman" w:cs="Times New Roman" w:eastAsia="Times New Roman" w:hAnsi="Times New Roman"/>
          <w:sz w:val="18"/>
          <w:szCs w:val="18"/>
        </w:rPr>
        <w:t xml:space="preserve">(New York: Routledge, 2026), pp. 25–27.</w:t>
      </w:r>
    </w:p>
  </w:footnote>
  <w:footnote w:id="17">
    <w:p>
      <w:pPr>
        <w:spacing w:line="240" w:lineRule="auto"/>
      </w:pPr>
      <w:r>
        <w:rPr>
          <w:rStyle w:val="FootnoteReference"/>
        </w:rPr>
        <w:footnoteRef/>
      </w:r>
      <w:r>
        <w:rPr>
          <w:rFonts w:ascii="Times New Roman" w:cs="Times New Roman" w:eastAsia="Times New Roman" w:hAnsi="Times New Roman"/>
          <w:sz w:val="18"/>
          <w:szCs w:val="18"/>
        </w:rPr>
        <w:t xml:space="preserve">United Nations Panel of Experts, </w:t>
      </w:r>
      <w:r>
        <w:rPr>
          <w:rFonts w:ascii="Times New Roman" w:cs="Times New Roman" w:eastAsia="Times New Roman" w:hAnsi="Times New Roman"/>
          <w:i/>
          <w:iCs/>
          <w:sz w:val="18"/>
          <w:szCs w:val="18"/>
        </w:rPr>
        <w:t xml:space="preserve">Final Report of the Panel of Experts on the Central African Republic</w:t>
      </w:r>
      <w:r>
        <w:rPr>
          <w:rFonts w:ascii="Times New Roman" w:cs="Times New Roman" w:eastAsia="Times New Roman" w:hAnsi="Times New Roman"/>
          <w:sz w:val="18"/>
          <w:szCs w:val="18"/>
        </w:rPr>
        <w:t xml:space="preserve"> (New York: UN Security Council, 2022). See also “Wagner Group,” </w:t>
      </w:r>
      <w:r>
        <w:rPr>
          <w:rFonts w:ascii="Times New Roman" w:cs="Times New Roman" w:eastAsia="Times New Roman" w:hAnsi="Times New Roman"/>
          <w:i/>
          <w:iCs/>
          <w:sz w:val="18"/>
          <w:szCs w:val="18"/>
        </w:rPr>
        <w:t xml:space="preserve">BBC News</w:t>
      </w:r>
      <w:r>
        <w:rPr>
          <w:rFonts w:ascii="Times New Roman" w:cs="Times New Roman" w:eastAsia="Times New Roman" w:hAnsi="Times New Roman"/>
          <w:sz w:val="18"/>
          <w:szCs w:val="18"/>
        </w:rPr>
        <w:t xml:space="preserve">, accessed June 30, 2026.</w:t>
      </w:r>
    </w:p>
  </w:footnote>
  <w:footnote w:id="18">
    <w:p>
      <w:pPr>
        <w:spacing w:line="240" w:lineRule="auto"/>
      </w:pPr>
      <w:r>
        <w:rPr>
          <w:rStyle w:val="FootnoteReference"/>
        </w:rPr>
        <w:footnoteRef/>
      </w:r>
      <w:r>
        <w:rPr>
          <w:rFonts w:ascii="Times New Roman" w:cs="Times New Roman" w:eastAsia="Times New Roman" w:hAnsi="Times New Roman"/>
          <w:sz w:val="18"/>
          <w:szCs w:val="18"/>
        </w:rPr>
        <w:t xml:space="preserve">Jeffrey W. Jones, </w:t>
      </w:r>
      <w:r>
        <w:rPr>
          <w:rFonts w:ascii="Times New Roman" w:cs="Times New Roman" w:eastAsia="Times New Roman" w:hAnsi="Times New Roman"/>
          <w:i/>
          <w:iCs/>
          <w:sz w:val="18"/>
          <w:szCs w:val="18"/>
        </w:rPr>
        <w:t xml:space="preserve">Contemporary World History Since 1945 </w:t>
      </w:r>
      <w:r>
        <w:rPr>
          <w:rFonts w:ascii="Times New Roman" w:cs="Times New Roman" w:eastAsia="Times New Roman" w:hAnsi="Times New Roman"/>
          <w:sz w:val="18"/>
          <w:szCs w:val="18"/>
        </w:rPr>
        <w:t xml:space="preserve">(New York: Routledge, 2026), pp. 137–145.</w:t>
      </w:r>
    </w:p>
  </w:footnote>
  <w:footnote w:id="19">
    <w:p>
      <w:pPr>
        <w:spacing w:line="240" w:lineRule="auto"/>
      </w:pPr>
      <w:r>
        <w:rPr>
          <w:rStyle w:val="FootnoteReference"/>
        </w:rPr>
        <w:footnoteRef/>
      </w:r>
      <w:r>
        <w:rPr>
          <w:rFonts w:ascii="Times New Roman" w:cs="Times New Roman" w:eastAsia="Times New Roman" w:hAnsi="Times New Roman"/>
          <w:sz w:val="18"/>
          <w:szCs w:val="18"/>
        </w:rPr>
        <w:t xml:space="preserve">Neta C. Crawford, “The Pentagon’s Budgetary Cost of the Post-9/11 Wars,” Watson Institute for International and Public Affairs, Brown University, September 2021, https://watson.brown.edu/costsofwar/.</w:t>
      </w:r>
    </w:p>
  </w:footnote>
  <w:footnote w:id="20">
    <w:p>
      <w:pPr>
        <w:spacing w:line="240" w:lineRule="auto"/>
      </w:pPr>
      <w:r>
        <w:rPr>
          <w:rStyle w:val="FootnoteReference"/>
        </w:rPr>
        <w:footnoteRef/>
      </w:r>
      <w:r>
        <w:rPr>
          <w:rFonts w:ascii="Times New Roman" w:cs="Times New Roman" w:eastAsia="Times New Roman" w:hAnsi="Times New Roman"/>
          <w:sz w:val="18"/>
          <w:szCs w:val="18"/>
        </w:rPr>
        <w:t xml:space="preserve">Jones, </w:t>
      </w:r>
      <w:r>
        <w:rPr>
          <w:rFonts w:ascii="Times New Roman" w:cs="Times New Roman" w:eastAsia="Times New Roman" w:hAnsi="Times New Roman"/>
          <w:i/>
          <w:iCs/>
          <w:sz w:val="18"/>
          <w:szCs w:val="18"/>
        </w:rPr>
        <w:t xml:space="preserve">Contemporary World History Since 1945</w:t>
      </w:r>
      <w:r>
        <w:rPr>
          <w:rFonts w:ascii="Times New Roman" w:cs="Times New Roman" w:eastAsia="Times New Roman" w:hAnsi="Times New Roman"/>
          <w:sz w:val="18"/>
          <w:szCs w:val="18"/>
        </w:rPr>
        <w:t xml:space="preserve">, pp. 253–254.</w:t>
      </w:r>
    </w:p>
  </w:footnote>
  <w:footnote w:id="21">
    <w:p>
      <w:pPr>
        <w:spacing w:line="240" w:lineRule="auto"/>
      </w:pPr>
      <w:r>
        <w:rPr>
          <w:rStyle w:val="FootnoteReference"/>
        </w:rPr>
        <w:footnoteRef/>
      </w:r>
      <w:r>
        <w:rPr>
          <w:rFonts w:ascii="Times New Roman" w:cs="Times New Roman" w:eastAsia="Times New Roman" w:hAnsi="Times New Roman"/>
          <w:sz w:val="18"/>
          <w:szCs w:val="18"/>
        </w:rPr>
        <w:t xml:space="preserve">Jones, </w:t>
      </w:r>
      <w:r>
        <w:rPr>
          <w:rFonts w:ascii="Times New Roman" w:cs="Times New Roman" w:eastAsia="Times New Roman" w:hAnsi="Times New Roman"/>
          <w:i/>
          <w:iCs/>
          <w:sz w:val="18"/>
          <w:szCs w:val="18"/>
        </w:rPr>
        <w:t xml:space="preserve">Contemporary World History Since 1945</w:t>
      </w:r>
      <w:r>
        <w:rPr>
          <w:rFonts w:ascii="Times New Roman" w:cs="Times New Roman" w:eastAsia="Times New Roman" w:hAnsi="Times New Roman"/>
          <w:sz w:val="18"/>
          <w:szCs w:val="18"/>
        </w:rPr>
        <w:t xml:space="preserve">, p. 255.</w:t>
      </w:r>
    </w:p>
  </w:footnote>
  <w:footnote w:id="22">
    <w:p>
      <w:pPr>
        <w:spacing w:line="240" w:lineRule="auto"/>
      </w:pPr>
      <w:r>
        <w:rPr>
          <w:rStyle w:val="FootnoteReference"/>
        </w:rPr>
        <w:footnoteRef/>
      </w:r>
      <w:r>
        <w:rPr>
          <w:rFonts w:ascii="Times New Roman" w:cs="Times New Roman" w:eastAsia="Times New Roman" w:hAnsi="Times New Roman"/>
          <w:sz w:val="18"/>
          <w:szCs w:val="18"/>
        </w:rPr>
        <w:t xml:space="preserve">Republic of South Africa, </w:t>
      </w:r>
      <w:r>
        <w:rPr>
          <w:rFonts w:ascii="Times New Roman" w:cs="Times New Roman" w:eastAsia="Times New Roman" w:hAnsi="Times New Roman"/>
          <w:i/>
          <w:iCs/>
          <w:sz w:val="18"/>
          <w:szCs w:val="18"/>
        </w:rPr>
        <w:t xml:space="preserve">Judicial Commission of Inquiry into Allegations of State Capture</w:t>
      </w:r>
      <w:r>
        <w:rPr>
          <w:rFonts w:ascii="Times New Roman" w:cs="Times New Roman" w:eastAsia="Times New Roman" w:hAnsi="Times New Roman"/>
          <w:sz w:val="18"/>
          <w:szCs w:val="18"/>
        </w:rPr>
        <w:t xml:space="preserve"> (Zondo Commission), Final Report, Vol. I (Pretoria, 2022).</w:t>
      </w:r>
    </w:p>
  </w:footnote>
  <w:footnote w:id="23">
    <w:p>
      <w:pPr>
        <w:spacing w:line="240" w:lineRule="auto"/>
      </w:pPr>
      <w:r>
        <w:rPr>
          <w:rStyle w:val="FootnoteReference"/>
        </w:rPr>
        <w:footnoteRef/>
      </w:r>
      <w:r>
        <w:rPr>
          <w:rFonts w:ascii="Times New Roman" w:cs="Times New Roman" w:eastAsia="Times New Roman" w:hAnsi="Times New Roman"/>
          <w:sz w:val="18"/>
          <w:szCs w:val="18"/>
        </w:rPr>
        <w:t xml:space="preserve">Instituto Nacional de Pesquisas Espaciais (INPE), </w:t>
      </w:r>
      <w:r>
        <w:rPr>
          <w:rFonts w:ascii="Times New Roman" w:cs="Times New Roman" w:eastAsia="Times New Roman" w:hAnsi="Times New Roman"/>
          <w:i/>
          <w:iCs/>
          <w:sz w:val="18"/>
          <w:szCs w:val="18"/>
        </w:rPr>
        <w:t xml:space="preserve">PRODES Deforestation Rates in the Brazilian Amazon</w:t>
      </w:r>
      <w:r>
        <w:rPr>
          <w:rFonts w:ascii="Times New Roman" w:cs="Times New Roman" w:eastAsia="Times New Roman" w:hAnsi="Times New Roman"/>
          <w:sz w:val="18"/>
          <w:szCs w:val="18"/>
        </w:rPr>
        <w:t xml:space="preserve">, 2022; “Brazil Election 2022,” </w:t>
      </w:r>
      <w:r>
        <w:rPr>
          <w:rFonts w:ascii="Times New Roman" w:cs="Times New Roman" w:eastAsia="Times New Roman" w:hAnsi="Times New Roman"/>
          <w:i/>
          <w:iCs/>
          <w:sz w:val="18"/>
          <w:szCs w:val="18"/>
        </w:rPr>
        <w:t xml:space="preserve">Reuters</w:t>
      </w:r>
      <w:r>
        <w:rPr>
          <w:rFonts w:ascii="Times New Roman" w:cs="Times New Roman" w:eastAsia="Times New Roman" w:hAnsi="Times New Roman"/>
          <w:sz w:val="18"/>
          <w:szCs w:val="18"/>
        </w:rPr>
        <w:t xml:space="preserve">, October 30, 2022.</w:t>
      </w:r>
    </w:p>
  </w:footnote>
  <w:footnote w:id="24">
    <w:p>
      <w:pPr>
        <w:spacing w:line="240" w:lineRule="auto"/>
      </w:pPr>
      <w:r>
        <w:rPr>
          <w:rStyle w:val="FootnoteReference"/>
        </w:rPr>
        <w:footnoteRef/>
      </w:r>
      <w:r>
        <w:rPr>
          <w:rFonts w:ascii="Times New Roman" w:cs="Times New Roman" w:eastAsia="Times New Roman" w:hAnsi="Times New Roman"/>
          <w:sz w:val="18"/>
          <w:szCs w:val="18"/>
        </w:rPr>
        <w:t xml:space="preserve">“Brazil’s Congress Attack: What Happened on January 8?” </w:t>
      </w:r>
      <w:r>
        <w:rPr>
          <w:rFonts w:ascii="Times New Roman" w:cs="Times New Roman" w:eastAsia="Times New Roman" w:hAnsi="Times New Roman"/>
          <w:i/>
          <w:iCs/>
          <w:sz w:val="18"/>
          <w:szCs w:val="18"/>
        </w:rPr>
        <w:t xml:space="preserve">BBC News</w:t>
      </w:r>
      <w:r>
        <w:rPr>
          <w:rFonts w:ascii="Times New Roman" w:cs="Times New Roman" w:eastAsia="Times New Roman" w:hAnsi="Times New Roman"/>
          <w:sz w:val="18"/>
          <w:szCs w:val="18"/>
        </w:rPr>
        <w:t xml:space="preserve">, January 9, 2023, https://www.bbc.com/news/world-latin-america-64196421.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2026-06-30T07:30:33.422Z</dcterms:created>
  <dcterms:modified xsi:type="dcterms:W3CDTF">2026-06-30T07:30:33.422Z</dcterms:modified>
</cp:coreProperties>
</file>

<file path=docProps/custom.xml><?xml version="1.0" encoding="utf-8"?>
<Properties xmlns="http://schemas.openxmlformats.org/officeDocument/2006/custom-properties" xmlns:vt="http://schemas.openxmlformats.org/officeDocument/2006/docPropsVTypes"/>
</file>