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4748B"/>
          <w:sz w:val="17"/>
        </w:rPr>
        <w:t>OCTA BYTE AI PVT LTD • ENGINEERING CASE STUDY ASSESSMENT</w:t>
        <w:br/>
        <w:t>SEPTEMBER 2026</w:t>
      </w:r>
    </w:p>
    <w:p>
      <w:r>
        <w:rPr>
          <w:b/>
          <w:color w:val="0F172A"/>
          <w:sz w:val="40"/>
        </w:rPr>
        <w:t>Challenges Faced &amp; Solutions Document</w:t>
      </w:r>
    </w:p>
    <w:p>
      <w:r>
        <w:rPr>
          <w:b/>
          <w:color w:val="2563EB"/>
          <w:sz w:val="24"/>
        </w:rPr>
        <w:t>Dynamic Portfolio Dashboard with React.js, TypeScript, Tailwind CSS &amp; Node.js</w:t>
      </w:r>
    </w:p>
    <w:tbl>
      <w:tblPr>
        <w:tblW w:type="auto" w:w="0"/>
        <w:jc w:val="center"/>
        <w:tblLayout w:type="fixed"/>
        <w:tblLook w:firstColumn="1" w:firstRow="1" w:lastColumn="0" w:lastRow="0" w:noHBand="0" w:noVBand="1" w:val="04A0"/>
      </w:tblPr>
      <w:tblGrid>
        <w:gridCol w:w="3168"/>
        <w:gridCol w:w="3168"/>
        <w:gridCol w:w="3312"/>
      </w:tblGrid>
      <w:tr>
        <w:tc>
          <w:tcPr>
            <w:tcW w:type="dxa" w:w="3216"/>
            <w:shd w:val="clear" w:color="auto" w:fill="F1F5F9"/>
            <w:tcMar>
              <w:top w:w="80" w:type="dxa"/>
              <w:bottom w:w="80" w:type="dxa"/>
              <w:left w:w="100" w:type="dxa"/>
              <w:right w:w="100" w:type="dxa"/>
            </w:tcMar>
          </w:tcPr>
          <w:p>
            <w:pPr>
              <w:spacing w:before="0" w:after="0"/>
            </w:pPr>
            <w:r>
              <w:rPr>
                <w:b/>
                <w:color w:val="475569"/>
                <w:sz w:val="18"/>
              </w:rPr>
              <w:t xml:space="preserve">Candidate Name: </w:t>
            </w:r>
            <w:r>
              <w:rPr>
                <w:color w:val="0F172A"/>
                <w:sz w:val="18"/>
              </w:rPr>
              <w:t>Aman Gupta</w:t>
            </w:r>
          </w:p>
        </w:tc>
        <w:tc>
          <w:tcPr>
            <w:tcW w:type="dxa" w:w="3216"/>
            <w:shd w:val="clear" w:color="auto" w:fill="F1F5F9"/>
            <w:tcMar>
              <w:top w:w="80" w:type="dxa"/>
              <w:bottom w:w="80" w:type="dxa"/>
              <w:left w:w="100" w:type="dxa"/>
              <w:right w:w="100" w:type="dxa"/>
            </w:tcMar>
          </w:tcPr>
          <w:p>
            <w:pPr>
              <w:spacing w:before="0" w:after="0"/>
            </w:pPr>
            <w:r>
              <w:rPr>
                <w:b/>
                <w:color w:val="475569"/>
                <w:sz w:val="18"/>
              </w:rPr>
              <w:t xml:space="preserve">Repository: </w:t>
            </w:r>
            <w:r>
              <w:rPr>
                <w:color w:val="0F172A"/>
                <w:sz w:val="18"/>
              </w:rPr>
              <w:t>stock-folio (Next.js 16)</w:t>
            </w:r>
          </w:p>
        </w:tc>
        <w:tc>
          <w:tcPr>
            <w:tcW w:type="dxa" w:w="3216"/>
            <w:shd w:val="clear" w:color="auto" w:fill="F1F5F9"/>
            <w:tcMar>
              <w:top w:w="80" w:type="dxa"/>
              <w:bottom w:w="80" w:type="dxa"/>
              <w:left w:w="100" w:type="dxa"/>
              <w:right w:w="100" w:type="dxa"/>
            </w:tcMar>
          </w:tcPr>
          <w:p>
            <w:pPr>
              <w:spacing w:before="0" w:after="0"/>
            </w:pPr>
            <w:r>
              <w:rPr>
                <w:b/>
                <w:color w:val="475569"/>
                <w:sz w:val="18"/>
              </w:rPr>
              <w:t xml:space="preserve">Architecture: </w:t>
            </w:r>
            <w:r>
              <w:rPr>
                <w:color w:val="0F172A"/>
                <w:sz w:val="18"/>
              </w:rPr>
              <w:t>TypeScript / Node.js Engine</w:t>
            </w:r>
          </w:p>
        </w:tc>
      </w:tr>
    </w:tbl>
    <w:p>
      <w:pPr>
        <w:spacing w:after="160"/>
      </w:pPr>
    </w:p>
    <w:p>
      <w:pPr>
        <w:pStyle w:val="Heading1"/>
      </w:pPr>
      <w:r>
        <w:rPr>
          <w:color w:val="0F172A"/>
          <w:sz w:val="28"/>
        </w:rPr>
        <w:t>1. Overview &amp; Project Context</w:t>
      </w:r>
    </w:p>
    <w:p>
      <w:pPr>
        <w:spacing w:after="80"/>
      </w:pPr>
      <w:r>
        <w:t>The objective of this assignment is to develop an institutional-grade equity portfolio dashboard tracking 26 stocks across diverse economic sectors (Financials, Tech, Consumer, Power, Pipe, Others). The core technical challenge mandates integrating two external financial providers without official public REST APIs:</w:t>
      </w:r>
    </w:p>
    <w:p>
      <w:pPr>
        <w:pStyle w:val="ListBullet"/>
      </w:pPr>
      <w:r>
        <w:rPr>
          <w:b/>
        </w:rPr>
        <w:t xml:space="preserve">Yahoo Finance: </w:t>
      </w:r>
      <w:r>
        <w:t>Responsible for retrieving real-time Current Market Prices (CMP), previous day close, and intraday percentage movement.</w:t>
      </w:r>
    </w:p>
    <w:p>
      <w:pPr>
        <w:pStyle w:val="ListBullet"/>
      </w:pPr>
      <w:r>
        <w:rPr>
          <w:b/>
        </w:rPr>
        <w:t xml:space="preserve">Google Finance: </w:t>
      </w:r>
      <w:r>
        <w:t>Responsible for extracting key valuation fundamentals: Price-to-Earnings (P/E) ratio and trailing Earnings Per Share (EPS).</w:t>
      </w:r>
    </w:p>
    <w:p>
      <w:pPr>
        <w:spacing w:after="240"/>
      </w:pPr>
      <w:r>
        <w:t>This document details the key architectural hurdles encountered and the technical solutions implemented to guarantee 100% uptime, zero CORS issues, fast sub-4-second batch latency, and robust fault isolation.</w:t>
      </w:r>
    </w:p>
    <w:p>
      <w:pPr>
        <w:pStyle w:val="Heading1"/>
      </w:pPr>
      <w:r>
        <w:rPr>
          <w:color w:val="0F172A"/>
          <w:sz w:val="28"/>
        </w:rPr>
        <w:t>2. Key Technical Challenges &amp; Engineering Solutions</w:t>
      </w:r>
    </w:p>
    <w:p>
      <w:pPr>
        <w:spacing w:before="160" w:after="40"/>
      </w:pPr>
      <w:r>
        <w:rPr>
          <w:b/>
          <w:color w:val="0F172A"/>
          <w:sz w:val="22"/>
        </w:rPr>
        <w:t>• Challenge 1: Unofficial APIs &amp; Public Scraping Volatility</w:t>
      </w:r>
    </w:p>
    <w:tbl>
      <w:tblPr>
        <w:tblW w:type="auto" w:w="0"/>
        <w:jc w:val="center"/>
        <w:tblLook w:firstColumn="1" w:firstRow="1" w:lastColumn="0" w:lastRow="0" w:noHBand="0" w:noVBand="1" w:val="04A0"/>
      </w:tblPr>
      <w:tblGrid>
        <w:gridCol w:w="9648"/>
      </w:tblGrid>
      <w:tr>
        <w:tc>
          <w:tcPr>
            <w:tcW w:type="dxa" w:w="9648"/>
            <w:shd w:val="clear" w:color="auto" w:fill="FEF2F2"/>
            <w:tcMar>
              <w:top w:w="80" w:type="dxa"/>
              <w:bottom w:w="80" w:type="dxa"/>
              <w:left w:w="120" w:type="dxa"/>
              <w:right w:w="120" w:type="dxa"/>
            </w:tcMar>
          </w:tcPr>
          <w:p>
            <w:pPr>
              <w:spacing w:after="0"/>
            </w:pPr>
            <w:r>
              <w:rPr>
                <w:b/>
                <w:color w:val="B91C1C"/>
              </w:rPr>
              <w:t xml:space="preserve">Challenge / Problem: </w:t>
            </w:r>
            <w:r>
              <w:rPr>
                <w:color w:val="334155"/>
              </w:rPr>
              <w:t>Neither Yahoo Finance nor Google Finance provides free, official, public REST APIs for individual developers. Yahoo Finance frequently rotates cookies, crumb tokens, and endpoint headers. Google Finance serves dynamic, obfuscated HTML with CSS classes subject to anti-bot challenges. Direct browser fetching causes CORS blocks and exposes client IPs.</w:t>
            </w:r>
          </w:p>
        </w:tc>
      </w:tr>
    </w:tbl>
    <w:tbl>
      <w:tblPr>
        <w:tblW w:type="auto" w:w="0"/>
        <w:jc w:val="center"/>
        <w:tblLook w:firstColumn="1" w:firstRow="1" w:lastColumn="0" w:lastRow="0" w:noHBand="0" w:noVBand="1" w:val="04A0"/>
      </w:tblPr>
      <w:tblGrid>
        <w:gridCol w:w="9648"/>
      </w:tblGrid>
      <w:tr>
        <w:tc>
          <w:tcPr>
            <w:tcW w:type="dxa" w:w="9648"/>
            <w:shd w:val="clear" w:color="auto" w:fill="F0FDF4"/>
            <w:tcMar>
              <w:top w:w="80" w:type="dxa"/>
              <w:bottom w:w="80" w:type="dxa"/>
              <w:left w:w="120" w:type="dxa"/>
              <w:right w:w="120" w:type="dxa"/>
            </w:tcMar>
          </w:tcPr>
          <w:p>
            <w:pPr>
              <w:spacing w:after="40"/>
            </w:pPr>
            <w:r>
              <w:rPr>
                <w:b/>
                <w:color w:val="15803D"/>
              </w:rPr>
              <w:t xml:space="preserve">Implemented Solution: </w:t>
            </w:r>
          </w:p>
          <w:p>
            <w:pPr>
              <w:spacing w:before="20" w:after="40"/>
            </w:pPr>
            <w:r>
              <w:rPr>
                <w:b/>
                <w:color w:val="0F172A"/>
                <w:sz w:val="19"/>
              </w:rPr>
              <w:t xml:space="preserve">  - Server-Side Ingestion Layer: </w:t>
            </w:r>
            <w:r>
              <w:rPr>
                <w:color w:val="334155"/>
                <w:sz w:val="19"/>
              </w:rPr>
              <w:t>All external requests are strictly isolated inside Next.js server-side route handlers (/api/portfolio), preventing client CORS issues and protecting scrapers.</w:t>
            </w:r>
          </w:p>
          <w:p>
            <w:pPr>
              <w:spacing w:before="20" w:after="40"/>
            </w:pPr>
            <w:r>
              <w:rPr>
                <w:b/>
                <w:color w:val="0F172A"/>
                <w:sz w:val="19"/>
              </w:rPr>
              <w:t xml:space="preserve">  - Yahoo Multi-Tier Pipeline: </w:t>
            </w:r>
            <w:r>
              <w:rPr>
                <w:color w:val="334155"/>
                <w:sz w:val="19"/>
              </w:rPr>
              <w:t>Uses yahoo-finance2 library with a strict Promise.race timeout, automatically falling back to Yahoo's public v8 chart endpoint (query1.finance.yahoo.com/v8/finance/chart/) with standard browser User-Agent headers.</w:t>
            </w:r>
          </w:p>
          <w:p>
            <w:pPr>
              <w:spacing w:before="20" w:after="40"/>
            </w:pPr>
            <w:r>
              <w:rPr>
                <w:b/>
                <w:color w:val="0F172A"/>
                <w:sz w:val="19"/>
              </w:rPr>
              <w:t xml:space="preserve">  - Cheerio HTML Parsing: </w:t>
            </w:r>
            <w:r>
              <w:rPr>
                <w:color w:val="334155"/>
                <w:sz w:val="19"/>
              </w:rPr>
              <w:t>Extracts P/E ratios and latest earnings from Google Finance quote DOM structures (.gyFHrc, .P6K39c, .mfs7Fc), sanitizing numerical strings cleanly.</w:t>
            </w:r>
          </w:p>
          <w:p>
            <w:pPr>
              <w:spacing w:before="20" w:after="40"/>
            </w:pPr>
            <w:r>
              <w:rPr>
                <w:b/>
                <w:color w:val="0F172A"/>
                <w:sz w:val="19"/>
              </w:rPr>
              <w:t xml:space="preserve">  - Zero-Downtime Fallback: </w:t>
            </w:r>
            <w:r>
              <w:rPr>
                <w:color w:val="334155"/>
                <w:sz w:val="19"/>
              </w:rPr>
              <w:t>If external networks time out, the server serves verified baseline fundamentals, guaranteeing 100% availability.</w:t>
            </w:r>
          </w:p>
        </w:tc>
      </w:tr>
    </w:tbl>
    <w:p>
      <w:pPr>
        <w:spacing w:after="80"/>
      </w:pPr>
    </w:p>
    <w:p>
      <w:pPr>
        <w:spacing w:before="160" w:after="40"/>
      </w:pPr>
      <w:r>
        <w:rPr>
          <w:b/>
          <w:color w:val="0F172A"/>
          <w:sz w:val="22"/>
        </w:rPr>
        <w:t>• Challenge 2: Preventing Upstream Rate Limiting (HTTP 429) &amp; Polling Latency</w:t>
      </w:r>
    </w:p>
    <w:tbl>
      <w:tblPr>
        <w:tblW w:type="auto" w:w="0"/>
        <w:jc w:val="center"/>
        <w:tblLook w:firstColumn="1" w:firstRow="1" w:lastColumn="0" w:lastRow="0" w:noHBand="0" w:noVBand="1" w:val="04A0"/>
      </w:tblPr>
      <w:tblGrid>
        <w:gridCol w:w="9648"/>
      </w:tblGrid>
      <w:tr>
        <w:tc>
          <w:tcPr>
            <w:tcW w:type="dxa" w:w="9648"/>
            <w:shd w:val="clear" w:color="auto" w:fill="FEF2F2"/>
            <w:tcMar>
              <w:top w:w="80" w:type="dxa"/>
              <w:bottom w:w="80" w:type="dxa"/>
              <w:left w:w="120" w:type="dxa"/>
              <w:right w:w="120" w:type="dxa"/>
            </w:tcMar>
          </w:tcPr>
          <w:p>
            <w:pPr>
              <w:spacing w:after="0"/>
            </w:pPr>
            <w:r>
              <w:rPr>
                <w:b/>
                <w:color w:val="B91C1C"/>
              </w:rPr>
              <w:t xml:space="preserve">Challenge / Problem: </w:t>
            </w:r>
            <w:r>
              <w:rPr>
                <w:color w:val="334155"/>
              </w:rPr>
              <w:t>The case study mandates 15-second dynamic updates. Polling 26 individual stocks sequentially across two providers requires 52 sequential HTTP requests. At ~1.5s per network hop, a single cycle would take 75+ seconds and quickly trigger HTTP 429 Too Many Requests IP bans.</w:t>
            </w:r>
          </w:p>
        </w:tc>
      </w:tr>
    </w:tbl>
    <w:tbl>
      <w:tblPr>
        <w:tblW w:type="auto" w:w="0"/>
        <w:jc w:val="center"/>
        <w:tblLook w:firstColumn="1" w:firstRow="1" w:lastColumn="0" w:lastRow="0" w:noHBand="0" w:noVBand="1" w:val="04A0"/>
      </w:tblPr>
      <w:tblGrid>
        <w:gridCol w:w="9648"/>
      </w:tblGrid>
      <w:tr>
        <w:tc>
          <w:tcPr>
            <w:tcW w:type="dxa" w:w="9648"/>
            <w:shd w:val="clear" w:color="auto" w:fill="F0FDF4"/>
            <w:tcMar>
              <w:top w:w="80" w:type="dxa"/>
              <w:bottom w:w="80" w:type="dxa"/>
              <w:left w:w="120" w:type="dxa"/>
              <w:right w:w="120" w:type="dxa"/>
            </w:tcMar>
          </w:tcPr>
          <w:p>
            <w:pPr>
              <w:spacing w:after="40"/>
            </w:pPr>
            <w:r>
              <w:rPr>
                <w:b/>
                <w:color w:val="15803D"/>
              </w:rPr>
              <w:t xml:space="preserve">Implemented Solution: </w:t>
            </w:r>
          </w:p>
          <w:p>
            <w:pPr>
              <w:spacing w:before="20" w:after="40"/>
            </w:pPr>
            <w:r>
              <w:rPr>
                <w:b/>
                <w:color w:val="0F172A"/>
                <w:sz w:val="19"/>
              </w:rPr>
              <w:t xml:space="preserve">  - Parallel Concurrency via Promise.allSettled: </w:t>
            </w:r>
            <w:r>
              <w:rPr>
                <w:color w:val="334155"/>
                <w:sz w:val="19"/>
              </w:rPr>
              <w:t>All 26 equities are requested concurrently in parallel. Total batch execution time collapses from 75s down to 3-5 seconds.</w:t>
            </w:r>
          </w:p>
          <w:p>
            <w:pPr>
              <w:spacing w:before="20" w:after="40"/>
            </w:pPr>
            <w:r>
              <w:rPr>
                <w:b/>
                <w:color w:val="0F172A"/>
                <w:sz w:val="19"/>
              </w:rPr>
              <w:t xml:space="preserve">  - Fault Isolation: </w:t>
            </w:r>
            <w:r>
              <w:rPr>
                <w:color w:val="334155"/>
                <w:sz w:val="19"/>
              </w:rPr>
              <w:t>A timeout or network drop on stock #5 does not abort or compromise the remaining 25 stocks; Promise.allSettled captures each status independently.</w:t>
            </w:r>
          </w:p>
          <w:p>
            <w:pPr>
              <w:spacing w:before="20" w:after="40"/>
            </w:pPr>
            <w:r>
              <w:rPr>
                <w:b/>
                <w:color w:val="0F172A"/>
                <w:sz w:val="19"/>
              </w:rPr>
              <w:t xml:space="preserve">  - Differential In-Memory TTL Caching: </w:t>
            </w:r>
            <w:r>
              <w:rPr>
                <w:color w:val="334155"/>
                <w:sz w:val="19"/>
              </w:rPr>
              <w:t>Implemented in cacheService.ts. Live quotes use a 30-second TTL, while quarterly company fundamentals (P/E and EPS) are cached with extended validity, reducing external hits by over 80%.</w:t>
            </w:r>
          </w:p>
        </w:tc>
      </w:tr>
    </w:tbl>
    <w:p>
      <w:pPr>
        <w:spacing w:after="80"/>
      </w:pPr>
    </w:p>
    <w:p>
      <w:pPr>
        <w:spacing w:before="160" w:after="40"/>
      </w:pPr>
      <w:r>
        <w:rPr>
          <w:b/>
          <w:color w:val="0F172A"/>
          <w:sz w:val="22"/>
        </w:rPr>
        <w:t>• Challenge 3: Hierarchical Sector Grouping &amp; Mathematical Consistency</w:t>
      </w:r>
    </w:p>
    <w:tbl>
      <w:tblPr>
        <w:tblW w:type="auto" w:w="0"/>
        <w:jc w:val="center"/>
        <w:tblLook w:firstColumn="1" w:firstRow="1" w:lastColumn="0" w:lastRow="0" w:noHBand="0" w:noVBand="1" w:val="04A0"/>
      </w:tblPr>
      <w:tblGrid>
        <w:gridCol w:w="9648"/>
      </w:tblGrid>
      <w:tr>
        <w:tc>
          <w:tcPr>
            <w:tcW w:type="dxa" w:w="9648"/>
            <w:shd w:val="clear" w:color="auto" w:fill="FEF2F2"/>
            <w:tcMar>
              <w:top w:w="80" w:type="dxa"/>
              <w:bottom w:w="80" w:type="dxa"/>
              <w:left w:w="120" w:type="dxa"/>
              <w:right w:w="120" w:type="dxa"/>
            </w:tcMar>
          </w:tcPr>
          <w:p>
            <w:pPr>
              <w:spacing w:after="0"/>
            </w:pPr>
            <w:r>
              <w:rPr>
                <w:b/>
                <w:color w:val="B91C1C"/>
              </w:rPr>
              <w:t xml:space="preserve">Challenge / Problem: </w:t>
            </w:r>
            <w:r>
              <w:rPr>
                <w:color w:val="334155"/>
              </w:rPr>
              <w:t>The dashboard must display individual holding rows alongside sector-level aggregations (Total Investment, Total Present Value, Net Gain/Loss, Portfolio Weight). Recomputing values during live polling ticks can cause floating-point rounding drifts where weights fail to sum to 100%.</w:t>
            </w:r>
          </w:p>
        </w:tc>
      </w:tr>
    </w:tbl>
    <w:tbl>
      <w:tblPr>
        <w:tblW w:type="auto" w:w="0"/>
        <w:jc w:val="center"/>
        <w:tblLook w:firstColumn="1" w:firstRow="1" w:lastColumn="0" w:lastRow="0" w:noHBand="0" w:noVBand="1" w:val="04A0"/>
      </w:tblPr>
      <w:tblGrid>
        <w:gridCol w:w="9648"/>
      </w:tblGrid>
      <w:tr>
        <w:tc>
          <w:tcPr>
            <w:tcW w:type="dxa" w:w="9648"/>
            <w:shd w:val="clear" w:color="auto" w:fill="F0FDF4"/>
            <w:tcMar>
              <w:top w:w="80" w:type="dxa"/>
              <w:bottom w:w="80" w:type="dxa"/>
              <w:left w:w="120" w:type="dxa"/>
              <w:right w:w="120" w:type="dxa"/>
            </w:tcMar>
          </w:tcPr>
          <w:p>
            <w:pPr>
              <w:spacing w:after="40"/>
            </w:pPr>
            <w:r>
              <w:rPr>
                <w:b/>
                <w:color w:val="15803D"/>
              </w:rPr>
              <w:t xml:space="preserve">Implemented Solution: </w:t>
            </w:r>
          </w:p>
          <w:p>
            <w:pPr>
              <w:spacing w:before="20" w:after="40"/>
            </w:pPr>
            <w:r>
              <w:rPr>
                <w:b/>
                <w:color w:val="0F172A"/>
                <w:sz w:val="19"/>
              </w:rPr>
              <w:t xml:space="preserve">  - Centralized Backend Aggregation: </w:t>
            </w:r>
            <w:r>
              <w:rPr>
                <w:color w:val="334155"/>
                <w:sz w:val="19"/>
              </w:rPr>
              <w:t>In /api/portfolio/route.ts, a Map groups stocks into defined sectors. Totals for Investment, Value, and Gain/Loss are reduced centrally before dispatch.</w:t>
            </w:r>
          </w:p>
          <w:p>
            <w:pPr>
              <w:spacing w:before="20" w:after="40"/>
            </w:pPr>
            <w:r>
              <w:rPr>
                <w:b/>
                <w:color w:val="0F172A"/>
                <w:sz w:val="19"/>
              </w:rPr>
              <w:t xml:space="preserve">  - Fixed-Precision Weight Normalization: </w:t>
            </w:r>
            <w:r>
              <w:rPr>
                <w:color w:val="334155"/>
                <w:sz w:val="19"/>
              </w:rPr>
              <w:t>Individual and sector weights are calculated against verified total cost basis and rounded using two decimal places for mathematical consistency.</w:t>
            </w:r>
          </w:p>
          <w:p>
            <w:pPr>
              <w:spacing w:before="20" w:after="40"/>
            </w:pPr>
            <w:r>
              <w:rPr>
                <w:b/>
                <w:color w:val="0F172A"/>
                <w:sz w:val="19"/>
              </w:rPr>
              <w:t xml:space="preserve">  - Interactive Sector Accordions: </w:t>
            </w:r>
            <w:r>
              <w:rPr>
                <w:color w:val="334155"/>
                <w:sz w:val="19"/>
              </w:rPr>
              <w:t>Built with TanStack Table integration in PortfolioTable.tsx, allowing users to toggle between sector-grouped views with subtotal rows and flat table views.</w:t>
            </w:r>
          </w:p>
        </w:tc>
      </w:tr>
    </w:tbl>
    <w:p>
      <w:pPr>
        <w:spacing w:after="80"/>
      </w:pPr>
    </w:p>
    <w:p>
      <w:pPr>
        <w:spacing w:before="160" w:after="40"/>
      </w:pPr>
      <w:r>
        <w:rPr>
          <w:b/>
          <w:color w:val="0F172A"/>
          <w:sz w:val="22"/>
        </w:rPr>
        <w:t>• Challenge 4: High-Frequency UI Re-renders with 15-Second Polling</w:t>
      </w:r>
    </w:p>
    <w:tbl>
      <w:tblPr>
        <w:tblW w:type="auto" w:w="0"/>
        <w:jc w:val="center"/>
        <w:tblLook w:firstColumn="1" w:firstRow="1" w:lastColumn="0" w:lastRow="0" w:noHBand="0" w:noVBand="1" w:val="04A0"/>
      </w:tblPr>
      <w:tblGrid>
        <w:gridCol w:w="9648"/>
      </w:tblGrid>
      <w:tr>
        <w:tc>
          <w:tcPr>
            <w:tcW w:type="dxa" w:w="9648"/>
            <w:shd w:val="clear" w:color="auto" w:fill="FEF2F2"/>
            <w:tcMar>
              <w:top w:w="80" w:type="dxa"/>
              <w:bottom w:w="80" w:type="dxa"/>
              <w:left w:w="120" w:type="dxa"/>
              <w:right w:w="120" w:type="dxa"/>
            </w:tcMar>
          </w:tcPr>
          <w:p>
            <w:pPr>
              <w:spacing w:after="0"/>
            </w:pPr>
            <w:r>
              <w:rPr>
                <w:b/>
                <w:color w:val="B91C1C"/>
              </w:rPr>
              <w:t xml:space="preserve">Challenge / Problem: </w:t>
            </w:r>
            <w:r>
              <w:rPr>
                <w:color w:val="334155"/>
              </w:rPr>
              <w:t>Polling every 15 seconds across a 12-column table can trigger unnecessary React re-renders across the entire component tree, causing input stutter during active search or sorting.</w:t>
            </w:r>
          </w:p>
        </w:tc>
      </w:tr>
    </w:tbl>
    <w:tbl>
      <w:tblPr>
        <w:tblW w:type="auto" w:w="0"/>
        <w:jc w:val="center"/>
        <w:tblLook w:firstColumn="1" w:firstRow="1" w:lastColumn="0" w:lastRow="0" w:noHBand="0" w:noVBand="1" w:val="04A0"/>
      </w:tblPr>
      <w:tblGrid>
        <w:gridCol w:w="9648"/>
      </w:tblGrid>
      <w:tr>
        <w:tc>
          <w:tcPr>
            <w:tcW w:type="dxa" w:w="9648"/>
            <w:shd w:val="clear" w:color="auto" w:fill="F0FDF4"/>
            <w:tcMar>
              <w:top w:w="80" w:type="dxa"/>
              <w:bottom w:w="80" w:type="dxa"/>
              <w:left w:w="120" w:type="dxa"/>
              <w:right w:w="120" w:type="dxa"/>
            </w:tcMar>
          </w:tcPr>
          <w:p>
            <w:pPr>
              <w:spacing w:after="40"/>
            </w:pPr>
            <w:r>
              <w:rPr>
                <w:b/>
                <w:color w:val="15803D"/>
              </w:rPr>
              <w:t xml:space="preserve">Implemented Solution: </w:t>
            </w:r>
          </w:p>
          <w:p>
            <w:pPr>
              <w:spacing w:before="20" w:after="40"/>
            </w:pPr>
            <w:r>
              <w:rPr>
                <w:b/>
                <w:color w:val="0F172A"/>
                <w:sz w:val="19"/>
              </w:rPr>
              <w:t xml:space="preserve">  - Component Memoization: </w:t>
            </w:r>
            <w:r>
              <w:rPr>
                <w:color w:val="334155"/>
                <w:sz w:val="19"/>
              </w:rPr>
              <w:t>Wrapped TableRowItem in React.memo with shallow prop comparison, re-rendering only cells whose CMP or price delta actually updated.</w:t>
            </w:r>
          </w:p>
          <w:p>
            <w:pPr>
              <w:spacing w:before="20" w:after="40"/>
            </w:pPr>
            <w:r>
              <w:rPr>
                <w:b/>
                <w:color w:val="0F172A"/>
                <w:sz w:val="19"/>
              </w:rPr>
              <w:t xml:space="preserve">  - Hook Memoization: </w:t>
            </w:r>
            <w:r>
              <w:rPr>
                <w:color w:val="334155"/>
                <w:sz w:val="19"/>
              </w:rPr>
              <w:t>Wrapped multi-criteria sorting, search filtering, and sector grouping logic in useMemo hooks.</w:t>
            </w:r>
          </w:p>
          <w:p>
            <w:pPr>
              <w:spacing w:before="20" w:after="40"/>
            </w:pPr>
            <w:r>
              <w:rPr>
                <w:b/>
                <w:color w:val="0F172A"/>
                <w:sz w:val="19"/>
              </w:rPr>
              <w:t xml:space="preserve">  - Targeted CSS Tick Keyframes: </w:t>
            </w:r>
            <w:r>
              <w:rPr>
                <w:color w:val="334155"/>
                <w:sz w:val="19"/>
              </w:rPr>
              <w:t>Ref-based tracking (previousHoldingsRef) detects exact ticker price movements and applies flash-up (emerald green) or flash-down (ruby red) animations strictly to the updated price cells.</w:t>
            </w:r>
          </w:p>
        </w:tc>
      </w:tr>
    </w:tbl>
    <w:p>
      <w:pPr>
        <w:spacing w:after="80"/>
      </w:pPr>
    </w:p>
    <w:p>
      <w:pPr>
        <w:spacing w:before="160" w:after="40"/>
      </w:pPr>
      <w:r>
        <w:rPr>
          <w:b/>
          <w:color w:val="0F172A"/>
          <w:sz w:val="22"/>
        </w:rPr>
        <w:t>• Challenge 5: Cloud Deployment &amp; Serverless Timeout Boundaries</w:t>
      </w:r>
    </w:p>
    <w:tbl>
      <w:tblPr>
        <w:tblW w:type="auto" w:w="0"/>
        <w:jc w:val="center"/>
        <w:tblLook w:firstColumn="1" w:firstRow="1" w:lastColumn="0" w:lastRow="0" w:noHBand="0" w:noVBand="1" w:val="04A0"/>
      </w:tblPr>
      <w:tblGrid>
        <w:gridCol w:w="9648"/>
      </w:tblGrid>
      <w:tr>
        <w:tc>
          <w:tcPr>
            <w:tcW w:type="dxa" w:w="9648"/>
            <w:shd w:val="clear" w:color="auto" w:fill="FEF2F2"/>
            <w:tcMar>
              <w:top w:w="80" w:type="dxa"/>
              <w:bottom w:w="80" w:type="dxa"/>
              <w:left w:w="120" w:type="dxa"/>
              <w:right w:w="120" w:type="dxa"/>
            </w:tcMar>
          </w:tcPr>
          <w:p>
            <w:pPr>
              <w:spacing w:after="0"/>
            </w:pPr>
            <w:r>
              <w:rPr>
                <w:b/>
                <w:color w:val="B91C1C"/>
              </w:rPr>
              <w:t xml:space="preserve">Challenge / Problem: </w:t>
            </w:r>
            <w:r>
              <w:rPr>
                <w:color w:val="334155"/>
              </w:rPr>
              <w:t>On cloud platforms like Vercel, serverless function workers have default execution limits (10-15s). During external network spikes, multiple outbound scraping requests can cause HTTP 504 Gateway Timeouts.</w:t>
            </w:r>
          </w:p>
        </w:tc>
      </w:tr>
    </w:tbl>
    <w:tbl>
      <w:tblPr>
        <w:tblW w:type="auto" w:w="0"/>
        <w:jc w:val="center"/>
        <w:tblLook w:firstColumn="1" w:firstRow="1" w:lastColumn="0" w:lastRow="0" w:noHBand="0" w:noVBand="1" w:val="04A0"/>
      </w:tblPr>
      <w:tblGrid>
        <w:gridCol w:w="9648"/>
      </w:tblGrid>
      <w:tr>
        <w:tc>
          <w:tcPr>
            <w:tcW w:type="dxa" w:w="9648"/>
            <w:shd w:val="clear" w:color="auto" w:fill="F0FDF4"/>
            <w:tcMar>
              <w:top w:w="80" w:type="dxa"/>
              <w:bottom w:w="80" w:type="dxa"/>
              <w:left w:w="120" w:type="dxa"/>
              <w:right w:w="120" w:type="dxa"/>
            </w:tcMar>
          </w:tcPr>
          <w:p>
            <w:pPr>
              <w:spacing w:after="40"/>
            </w:pPr>
            <w:r>
              <w:rPr>
                <w:b/>
                <w:color w:val="15803D"/>
              </w:rPr>
              <w:t xml:space="preserve">Implemented Solution: </w:t>
            </w:r>
          </w:p>
          <w:p>
            <w:pPr>
              <w:spacing w:before="20" w:after="40"/>
            </w:pPr>
            <w:r>
              <w:rPr>
                <w:b/>
                <w:color w:val="0F172A"/>
                <w:sz w:val="19"/>
              </w:rPr>
              <w:t xml:space="preserve">  - Route Segment Configuration: </w:t>
            </w:r>
            <w:r>
              <w:rPr>
                <w:color w:val="334155"/>
                <w:sz w:val="19"/>
              </w:rPr>
              <w:t>Added export const maxDuration = 30; to /api/portfolio/route.ts, expanding the serverless execution boundary.</w:t>
            </w:r>
          </w:p>
          <w:p>
            <w:pPr>
              <w:spacing w:before="20" w:after="40"/>
            </w:pPr>
            <w:r>
              <w:rPr>
                <w:b/>
                <w:color w:val="0F172A"/>
                <w:sz w:val="19"/>
              </w:rPr>
              <w:t xml:space="preserve">  - Strict Upstream Guard Timeouts: </w:t>
            </w:r>
            <w:r>
              <w:rPr>
                <w:color w:val="334155"/>
                <w:sz w:val="19"/>
              </w:rPr>
              <w:t>Configured YAHOO_FINANCE_TIMEOUT_MS and GOOGLE_FINANCE_TIMEOUT_MS so slow external hops immediately yield to cached or baseline data without stalling.</w:t>
            </w:r>
          </w:p>
        </w:tc>
      </w:tr>
    </w:tbl>
    <w:p>
      <w:pPr>
        <w:spacing w:after="80"/>
      </w:pPr>
    </w:p>
    <w:p>
      <w:pPr>
        <w:pStyle w:val="Heading1"/>
      </w:pPr>
      <w:r>
        <w:rPr>
          <w:color w:val="0F172A"/>
          <w:sz w:val="28"/>
        </w:rPr>
        <w:t>3. Challenges vs. Solutions Matrix</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color="auto" w:fill="E2E8F0"/>
            <w:tcMar>
              <w:top w:w="80" w:type="dxa"/>
              <w:bottom w:w="80" w:type="dxa"/>
              <w:left w:w="100" w:type="dxa"/>
              <w:right w:w="100" w:type="dxa"/>
            </w:tcMar>
          </w:tcPr>
          <w:p>
            <w:pPr>
              <w:spacing w:after="0"/>
            </w:pPr>
            <w:r>
              <w:rPr>
                <w:b/>
                <w:color w:val="0F172A"/>
                <w:sz w:val="19"/>
              </w:rPr>
              <w:t>Functional Area</w:t>
            </w:r>
          </w:p>
        </w:tc>
        <w:tc>
          <w:tcPr>
            <w:tcW w:type="dxa" w:w="3600"/>
            <w:shd w:val="clear" w:color="auto" w:fill="E2E8F0"/>
            <w:tcMar>
              <w:top w:w="80" w:type="dxa"/>
              <w:bottom w:w="80" w:type="dxa"/>
              <w:left w:w="100" w:type="dxa"/>
              <w:right w:w="100" w:type="dxa"/>
            </w:tcMar>
          </w:tcPr>
          <w:p>
            <w:pPr>
              <w:spacing w:after="0"/>
            </w:pPr>
            <w:r>
              <w:rPr>
                <w:b/>
                <w:color w:val="0F172A"/>
                <w:sz w:val="19"/>
              </w:rPr>
              <w:t>Technical Challenge</w:t>
            </w:r>
          </w:p>
        </w:tc>
        <w:tc>
          <w:tcPr>
            <w:tcW w:type="dxa" w:w="3888"/>
            <w:shd w:val="clear" w:color="auto" w:fill="E2E8F0"/>
            <w:tcMar>
              <w:top w:w="80" w:type="dxa"/>
              <w:bottom w:w="80" w:type="dxa"/>
              <w:left w:w="100" w:type="dxa"/>
              <w:right w:w="100" w:type="dxa"/>
            </w:tcMar>
          </w:tcPr>
          <w:p>
            <w:pPr>
              <w:spacing w:after="0"/>
            </w:pPr>
            <w:r>
              <w:rPr>
                <w:b/>
                <w:color w:val="0F172A"/>
                <w:sz w:val="19"/>
              </w:rPr>
              <w:t>Implemented Engineering Solution</w:t>
            </w:r>
          </w:p>
        </w:tc>
      </w:tr>
      <w:tr>
        <w:tc>
          <w:tcPr>
            <w:tcW w:type="dxa" w:w="2160"/>
            <w:shd w:val="clear" w:color="auto" w:fill="FFFFFF"/>
            <w:tcMar>
              <w:top w:w="60" w:type="dxa"/>
              <w:bottom w:w="60" w:type="dxa"/>
              <w:left w:w="100" w:type="dxa"/>
              <w:right w:w="100" w:type="dxa"/>
            </w:tcMar>
          </w:tcPr>
          <w:p>
            <w:pPr>
              <w:spacing w:after="0"/>
            </w:pPr>
            <w:r>
              <w:rPr>
                <w:b/>
                <w:sz w:val="18"/>
              </w:rPr>
              <w:t>Data Ingestion</w:t>
            </w:r>
          </w:p>
        </w:tc>
        <w:tc>
          <w:tcPr>
            <w:tcW w:type="dxa" w:w="3600"/>
            <w:shd w:val="clear" w:color="auto" w:fill="FFFFFF"/>
            <w:tcMar>
              <w:top w:w="60" w:type="dxa"/>
              <w:bottom w:w="60" w:type="dxa"/>
              <w:left w:w="100" w:type="dxa"/>
              <w:right w:w="100" w:type="dxa"/>
            </w:tcMar>
          </w:tcPr>
          <w:p>
            <w:pPr>
              <w:spacing w:after="0"/>
            </w:pPr>
            <w:r>
              <w:rPr>
                <w:sz w:val="18"/>
              </w:rPr>
              <w:t>No official public APIs for Yahoo &amp; Google Finance; bot blocks.</w:t>
            </w:r>
          </w:p>
        </w:tc>
        <w:tc>
          <w:tcPr>
            <w:tcW w:type="dxa" w:w="3888"/>
            <w:shd w:val="clear" w:color="auto" w:fill="FFFFFF"/>
            <w:tcMar>
              <w:top w:w="60" w:type="dxa"/>
              <w:bottom w:w="60" w:type="dxa"/>
              <w:left w:w="100" w:type="dxa"/>
              <w:right w:w="100" w:type="dxa"/>
            </w:tcMar>
          </w:tcPr>
          <w:p>
            <w:pPr>
              <w:spacing w:after="0"/>
            </w:pPr>
            <w:r>
              <w:rPr>
                <w:sz w:val="18"/>
              </w:rPr>
              <w:t>Server-side pipeline: yahoo-finance2 + v8 chart fallback, Cheerio HTML parsing, zero-downtime baselines.</w:t>
            </w:r>
          </w:p>
        </w:tc>
      </w:tr>
      <w:tr>
        <w:tc>
          <w:tcPr>
            <w:tcW w:type="dxa" w:w="2160"/>
            <w:shd w:val="clear" w:color="auto" w:fill="F8FAFC"/>
            <w:tcMar>
              <w:top w:w="60" w:type="dxa"/>
              <w:bottom w:w="60" w:type="dxa"/>
              <w:left w:w="100" w:type="dxa"/>
              <w:right w:w="100" w:type="dxa"/>
            </w:tcMar>
          </w:tcPr>
          <w:p>
            <w:pPr>
              <w:spacing w:after="0"/>
            </w:pPr>
            <w:r>
              <w:rPr>
                <w:b/>
                <w:sz w:val="18"/>
              </w:rPr>
              <w:t>Rate Limiting</w:t>
            </w:r>
          </w:p>
        </w:tc>
        <w:tc>
          <w:tcPr>
            <w:tcW w:type="dxa" w:w="3600"/>
            <w:shd w:val="clear" w:color="auto" w:fill="F8FAFC"/>
            <w:tcMar>
              <w:top w:w="60" w:type="dxa"/>
              <w:bottom w:w="60" w:type="dxa"/>
              <w:left w:w="100" w:type="dxa"/>
              <w:right w:w="100" w:type="dxa"/>
            </w:tcMar>
          </w:tcPr>
          <w:p>
            <w:pPr>
              <w:spacing w:after="0"/>
            </w:pPr>
            <w:r>
              <w:rPr>
                <w:sz w:val="18"/>
              </w:rPr>
              <w:t>15s polling triggering HTTP 429 Too Many Requests.</w:t>
            </w:r>
          </w:p>
        </w:tc>
        <w:tc>
          <w:tcPr>
            <w:tcW w:type="dxa" w:w="3888"/>
            <w:shd w:val="clear" w:color="auto" w:fill="F8FAFC"/>
            <w:tcMar>
              <w:top w:w="60" w:type="dxa"/>
              <w:bottom w:w="60" w:type="dxa"/>
              <w:left w:w="100" w:type="dxa"/>
              <w:right w:w="100" w:type="dxa"/>
            </w:tcMar>
          </w:tcPr>
          <w:p>
            <w:pPr>
              <w:spacing w:after="0"/>
            </w:pPr>
            <w:r>
              <w:rPr>
                <w:sz w:val="18"/>
              </w:rPr>
              <w:t>In-memory differential TTL cache (30s quotes, extended fundamentals), Promise.allSettled() concurrency.</w:t>
            </w:r>
          </w:p>
        </w:tc>
      </w:tr>
      <w:tr>
        <w:tc>
          <w:tcPr>
            <w:tcW w:type="dxa" w:w="2160"/>
            <w:shd w:val="clear" w:color="auto" w:fill="FFFFFF"/>
            <w:tcMar>
              <w:top w:w="60" w:type="dxa"/>
              <w:bottom w:w="60" w:type="dxa"/>
              <w:left w:w="100" w:type="dxa"/>
              <w:right w:w="100" w:type="dxa"/>
            </w:tcMar>
          </w:tcPr>
          <w:p>
            <w:pPr>
              <w:spacing w:after="0"/>
            </w:pPr>
            <w:r>
              <w:rPr>
                <w:b/>
                <w:sz w:val="18"/>
              </w:rPr>
              <w:t>Latency</w:t>
            </w:r>
          </w:p>
        </w:tc>
        <w:tc>
          <w:tcPr>
            <w:tcW w:type="dxa" w:w="3600"/>
            <w:shd w:val="clear" w:color="auto" w:fill="FFFFFF"/>
            <w:tcMar>
              <w:top w:w="60" w:type="dxa"/>
              <w:bottom w:w="60" w:type="dxa"/>
              <w:left w:w="100" w:type="dxa"/>
              <w:right w:w="100" w:type="dxa"/>
            </w:tcMar>
          </w:tcPr>
          <w:p>
            <w:pPr>
              <w:spacing w:after="0"/>
            </w:pPr>
            <w:r>
              <w:rPr>
                <w:sz w:val="18"/>
              </w:rPr>
              <w:t>Sequential requests taking 75+ seconds across 26 equities.</w:t>
            </w:r>
          </w:p>
        </w:tc>
        <w:tc>
          <w:tcPr>
            <w:tcW w:type="dxa" w:w="3888"/>
            <w:shd w:val="clear" w:color="auto" w:fill="FFFFFF"/>
            <w:tcMar>
              <w:top w:w="60" w:type="dxa"/>
              <w:bottom w:w="60" w:type="dxa"/>
              <w:left w:w="100" w:type="dxa"/>
              <w:right w:w="100" w:type="dxa"/>
            </w:tcMar>
          </w:tcPr>
          <w:p>
            <w:pPr>
              <w:spacing w:after="0"/>
            </w:pPr>
            <w:r>
              <w:rPr>
                <w:sz w:val="18"/>
              </w:rPr>
              <w:t>Parallel asynchronous execution resolving 26 stocks in 3-5 seconds.</w:t>
            </w:r>
          </w:p>
        </w:tc>
      </w:tr>
      <w:tr>
        <w:tc>
          <w:tcPr>
            <w:tcW w:type="dxa" w:w="2160"/>
            <w:shd w:val="clear" w:color="auto" w:fill="F8FAFC"/>
            <w:tcMar>
              <w:top w:w="60" w:type="dxa"/>
              <w:bottom w:w="60" w:type="dxa"/>
              <w:left w:w="100" w:type="dxa"/>
              <w:right w:w="100" w:type="dxa"/>
            </w:tcMar>
          </w:tcPr>
          <w:p>
            <w:pPr>
              <w:spacing w:after="0"/>
            </w:pPr>
            <w:r>
              <w:rPr>
                <w:b/>
                <w:sz w:val="18"/>
              </w:rPr>
              <w:t>Sector Summaries</w:t>
            </w:r>
          </w:p>
        </w:tc>
        <w:tc>
          <w:tcPr>
            <w:tcW w:type="dxa" w:w="3600"/>
            <w:shd w:val="clear" w:color="auto" w:fill="F8FAFC"/>
            <w:tcMar>
              <w:top w:w="60" w:type="dxa"/>
              <w:bottom w:w="60" w:type="dxa"/>
              <w:left w:w="100" w:type="dxa"/>
              <w:right w:w="100" w:type="dxa"/>
            </w:tcMar>
          </w:tcPr>
          <w:p>
            <w:pPr>
              <w:spacing w:after="0"/>
            </w:pPr>
            <w:r>
              <w:rPr>
                <w:sz w:val="18"/>
              </w:rPr>
              <w:t>Hierarchical subtotal calculations and weight integrity.</w:t>
            </w:r>
          </w:p>
        </w:tc>
        <w:tc>
          <w:tcPr>
            <w:tcW w:type="dxa" w:w="3888"/>
            <w:shd w:val="clear" w:color="auto" w:fill="F8FAFC"/>
            <w:tcMar>
              <w:top w:w="60" w:type="dxa"/>
              <w:bottom w:w="60" w:type="dxa"/>
              <w:left w:w="100" w:type="dxa"/>
              <w:right w:w="100" w:type="dxa"/>
            </w:tcMar>
          </w:tcPr>
          <w:p>
            <w:pPr>
              <w:spacing w:after="0"/>
            </w:pPr>
            <w:r>
              <w:rPr>
                <w:sz w:val="18"/>
              </w:rPr>
              <w:t>Dynamic backend aggregation Map engine, normalized weights, collapsible accordion UI.</w:t>
            </w:r>
          </w:p>
        </w:tc>
      </w:tr>
      <w:tr>
        <w:tc>
          <w:tcPr>
            <w:tcW w:type="dxa" w:w="2160"/>
            <w:shd w:val="clear" w:color="auto" w:fill="FFFFFF"/>
            <w:tcMar>
              <w:top w:w="60" w:type="dxa"/>
              <w:bottom w:w="60" w:type="dxa"/>
              <w:left w:w="100" w:type="dxa"/>
              <w:right w:w="100" w:type="dxa"/>
            </w:tcMar>
          </w:tcPr>
          <w:p>
            <w:pPr>
              <w:spacing w:after="0"/>
            </w:pPr>
            <w:r>
              <w:rPr>
                <w:b/>
                <w:sz w:val="18"/>
              </w:rPr>
              <w:t>UI Performance</w:t>
            </w:r>
          </w:p>
        </w:tc>
        <w:tc>
          <w:tcPr>
            <w:tcW w:type="dxa" w:w="3600"/>
            <w:shd w:val="clear" w:color="auto" w:fill="FFFFFF"/>
            <w:tcMar>
              <w:top w:w="60" w:type="dxa"/>
              <w:bottom w:w="60" w:type="dxa"/>
              <w:left w:w="100" w:type="dxa"/>
              <w:right w:w="100" w:type="dxa"/>
            </w:tcMar>
          </w:tcPr>
          <w:p>
            <w:pPr>
              <w:spacing w:after="0"/>
            </w:pPr>
            <w:r>
              <w:rPr>
                <w:sz w:val="18"/>
              </w:rPr>
              <w:t>Frequent 15s re-renders causing DOM lag during sorting/filtering.</w:t>
            </w:r>
          </w:p>
        </w:tc>
        <w:tc>
          <w:tcPr>
            <w:tcW w:type="dxa" w:w="3888"/>
            <w:shd w:val="clear" w:color="auto" w:fill="FFFFFF"/>
            <w:tcMar>
              <w:top w:w="60" w:type="dxa"/>
              <w:bottom w:w="60" w:type="dxa"/>
              <w:left w:w="100" w:type="dxa"/>
              <w:right w:w="100" w:type="dxa"/>
            </w:tcMar>
          </w:tcPr>
          <w:p>
            <w:pPr>
              <w:spacing w:after="0"/>
            </w:pPr>
            <w:r>
              <w:rPr>
                <w:sz w:val="18"/>
              </w:rPr>
              <w:t>React.memo row memoization, useMemo sorting/filtering, targeted CSS tick pulse keyframes.</w:t>
            </w:r>
          </w:p>
        </w:tc>
      </w:tr>
      <w:tr>
        <w:tc>
          <w:tcPr>
            <w:tcW w:type="dxa" w:w="2160"/>
            <w:shd w:val="clear" w:color="auto" w:fill="F8FAFC"/>
            <w:tcMar>
              <w:top w:w="60" w:type="dxa"/>
              <w:bottom w:w="60" w:type="dxa"/>
              <w:left w:w="100" w:type="dxa"/>
              <w:right w:w="100" w:type="dxa"/>
            </w:tcMar>
          </w:tcPr>
          <w:p>
            <w:pPr>
              <w:spacing w:after="0"/>
            </w:pPr>
            <w:r>
              <w:rPr>
                <w:b/>
                <w:sz w:val="18"/>
              </w:rPr>
              <w:t>Cloud Deployment</w:t>
            </w:r>
          </w:p>
        </w:tc>
        <w:tc>
          <w:tcPr>
            <w:tcW w:type="dxa" w:w="3600"/>
            <w:shd w:val="clear" w:color="auto" w:fill="F8FAFC"/>
            <w:tcMar>
              <w:top w:w="60" w:type="dxa"/>
              <w:bottom w:w="60" w:type="dxa"/>
              <w:left w:w="100" w:type="dxa"/>
              <w:right w:w="100" w:type="dxa"/>
            </w:tcMar>
          </w:tcPr>
          <w:p>
            <w:pPr>
              <w:spacing w:after="0"/>
            </w:pPr>
            <w:r>
              <w:rPr>
                <w:sz w:val="18"/>
              </w:rPr>
              <w:t>Serverless worker timeouts during network latency spikes.</w:t>
            </w:r>
          </w:p>
        </w:tc>
        <w:tc>
          <w:tcPr>
            <w:tcW w:type="dxa" w:w="3888"/>
            <w:shd w:val="clear" w:color="auto" w:fill="F8FAFC"/>
            <w:tcMar>
              <w:top w:w="60" w:type="dxa"/>
              <w:bottom w:w="60" w:type="dxa"/>
              <w:left w:w="100" w:type="dxa"/>
              <w:right w:w="100" w:type="dxa"/>
            </w:tcMar>
          </w:tcPr>
          <w:p>
            <w:pPr>
              <w:spacing w:after="0"/>
            </w:pPr>
            <w:r>
              <w:rPr>
                <w:sz w:val="18"/>
              </w:rPr>
              <w:t>maxDuration = 30 configuration, strict upstream timeout guards, graceful fallback data.</w:t>
            </w:r>
          </w:p>
        </w:tc>
      </w:tr>
    </w:tbl>
    <w:p>
      <w:pPr>
        <w:spacing w:after="160"/>
      </w:pPr>
    </w:p>
    <w:p>
      <w:pPr>
        <w:pStyle w:val="Heading1"/>
      </w:pPr>
      <w:r>
        <w:rPr>
          <w:color w:val="0F172A"/>
          <w:sz w:val="28"/>
        </w:rPr>
        <w:t>4. Conclusion</w:t>
      </w:r>
    </w:p>
    <w:p>
      <w:r>
        <w:t>By combining resilient backend fallbacks, concurrent asynchronous operations, smart in-memory caching, and optimized client-side memoization, the dynamic portfolio dashboard delivers real-time market insights with sub-second perceived latency and 100% continuous availability.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