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rFonts w:ascii="Calibri" w:cs="Calibri" w:eastAsia="Calibri" w:hAnsi="Calibri"/>
          <w:b/>
          <w:bCs/>
          <w:color w:val="C43F1B"/>
          <w:spacing w:val="40"/>
          <w:sz w:val="24"/>
          <w:szCs w:val="24"/>
        </w:rPr>
        <w:t xml:space="preserve">UX CASE STUDY</w:t>
      </w:r>
    </w:p>
    <w:p>
      <w:pPr>
        <w:spacing w:after="200" w:before="160"/>
        <w:jc w:val="center"/>
      </w:pPr>
      <w:r>
        <w:rPr>
          <w:rFonts w:ascii="Georgia" w:cs="Georgia" w:eastAsia="Georgia" w:hAnsi="Georgia"/>
          <w:b/>
          <w:bCs/>
          <w:color w:val="241B15"/>
          <w:sz w:val="72"/>
          <w:szCs w:val="72"/>
        </w:rPr>
        <w:t xml:space="preserve">Zomato</w:t>
      </w:r>
    </w:p>
    <w:p>
      <w:pPr>
        <w:spacing w:after="600"/>
        <w:jc w:val="center"/>
      </w:pPr>
      <w:r>
        <w:rPr>
          <w:rFonts w:ascii="Calibri" w:cs="Calibri" w:eastAsia="Calibri" w:hAnsi="Calibri"/>
          <w:i/>
          <w:iCs/>
          <w:color w:val="5C5044"/>
          <w:sz w:val="24"/>
          <w:szCs w:val="24"/>
        </w:rPr>
        <w:t xml:space="preserve">Analyzing the food-delivery user journey, strengths and weaknesses, and three evidence-based improvements</w:t>
      </w:r>
    </w:p>
    <w:p>
      <w:pPr>
        <w:pBdr>
          <w:top w:val="single" w:color="E4D9C4" w:sz="6" w:space="10"/>
        </w:pBdr>
        <w:spacing w:before="3200"/>
        <w:jc w:val="center"/>
      </w:pPr>
    </w:p>
    <w:p>
      <w:pPr>
        <w:spacing w:before="200"/>
        <w:jc w:val="center"/>
      </w:pPr>
      <w:r>
        <w:rPr>
          <w:rFonts w:ascii="Calibri" w:cs="Calibri" w:eastAsia="Calibri" w:hAnsi="Calibri"/>
          <w:b/>
          <w:bCs/>
          <w:color w:val="241B15"/>
          <w:sz w:val="20"/>
          <w:szCs w:val="20"/>
        </w:rPr>
        <w:t xml:space="preserve">UI/UX Design — Task 3</w:t>
      </w:r>
    </w:p>
    <w:p>
      <w:pPr>
        <w:spacing w:before="60"/>
        <w:jc w:val="center"/>
      </w:pPr>
      <w:r>
        <w:rPr>
          <w:rFonts w:ascii="Calibri" w:cs="Calibri" w:eastAsia="Calibri" w:hAnsi="Calibri"/>
          <w:color w:val="5C5044"/>
          <w:sz w:val="19"/>
          <w:szCs w:val="19"/>
        </w:rPr>
        <w:t xml:space="preserve">CodeAlpha Internship  ·  codealpha.tech</w:t>
      </w:r>
    </w:p>
    <w:p>
      <w:pPr>
        <w:spacing w:before="60"/>
        <w:jc w:val="center"/>
      </w:pPr>
      <w:r>
        <w:rPr>
          <w:rFonts w:ascii="Calibri" w:cs="Calibri" w:eastAsia="Calibri" w:hAnsi="Calibri"/>
          <w:color w:val="5C5044"/>
          <w:sz w:val="19"/>
          <w:szCs w:val="19"/>
        </w:rPr>
        <w:t xml:space="preserve">August 2026</w:t>
      </w:r>
    </w:p>
    <w:p>
      <w:pPr>
        <w:sectPr>
          <w:pgSz w:w="12240" w:h="15840" w:orient="portrait"/>
          <w:pgMar w:top="1600" w:right="1440" w:bottom="1600" w:left="1440" w:header="708" w:footer="708" w:gutter="0"/>
          <w:pgNumType/>
          <w:docGrid w:linePitch="360"/>
        </w:sectPr>
      </w:pPr>
    </w:p>
    <w:p>
      <w:pPr>
        <w:pStyle w:val="Heading1"/>
        <w:pBdr>
          <w:bottom w:val="single" w:color="C43F1B" w:sz="10" w:space="4"/>
        </w:pBdr>
        <w:spacing w:after="140" w:before="320"/>
      </w:pPr>
      <w:r>
        <w:rPr>
          <w:rFonts w:ascii="Georgia" w:cs="Georgia" w:eastAsia="Georgia" w:hAnsi="Georgia"/>
          <w:b/>
          <w:bCs/>
          <w:color w:val="241B15"/>
          <w:sz w:val="30"/>
          <w:szCs w:val="30"/>
        </w:rPr>
        <w:t xml:space="preserve">1. About the Product</w:t>
      </w:r>
    </w:p>
    <w:p>
      <w:pPr>
        <w:spacing w:after="140" w:line="300"/>
      </w:pPr>
      <w:r>
        <w:rPr>
          <w:rFonts w:ascii="Calibri" w:cs="Calibri" w:eastAsia="Calibri" w:hAnsi="Calibri"/>
          <w:i w:val="false"/>
          <w:iCs w:val="false"/>
          <w:color w:val="241B15"/>
          <w:sz w:val="21"/>
          <w:szCs w:val="21"/>
        </w:rPr>
        <w:t xml:space="preserve">Zomato is India's leading food-delivery app, part of Eternal Limited (renamed from Zomato Ltd in 2025), which also owns quick-commerce app Blinkit and B2B supply arm Hyperpure. Zomato began as a restaurant-discovery and review platform before expanding into delivery; in 2025 its dining-out, movies, and events booking features were spun off into a separate app, District, leaving the Zomato app focused specifically on food ordering and delivery. This case study evaluates that core food-delivery experience: browsing restaurants, ordering, paying, tracking, and resolving issues.</w:t>
      </w:r>
    </w:p>
    <w:p>
      <w:pPr>
        <w:pStyle w:val="Heading1"/>
        <w:pBdr>
          <w:bottom w:val="single" w:color="C43F1B" w:sz="10" w:space="4"/>
        </w:pBdr>
        <w:spacing w:after="140" w:before="320"/>
      </w:pPr>
      <w:r>
        <w:rPr>
          <w:rFonts w:ascii="Georgia" w:cs="Georgia" w:eastAsia="Georgia" w:hAnsi="Georgia"/>
          <w:b/>
          <w:bCs/>
          <w:color w:val="241B15"/>
          <w:sz w:val="30"/>
          <w:szCs w:val="30"/>
        </w:rPr>
        <w:t xml:space="preserve">2. Methodology</w:t>
      </w:r>
    </w:p>
    <w:p>
      <w:pPr>
        <w:spacing w:after="140" w:line="300"/>
      </w:pPr>
      <w:r>
        <w:rPr>
          <w:rFonts w:ascii="Calibri" w:cs="Calibri" w:eastAsia="Calibri" w:hAnsi="Calibri"/>
          <w:i w:val="false"/>
          <w:iCs w:val="false"/>
          <w:color w:val="241B15"/>
          <w:sz w:val="21"/>
          <w:szCs w:val="21"/>
        </w:rPr>
        <w:t xml:space="preserve">This is a heuristic evaluation, not a moderated usability study. The journey map and pain points below are built from (a) a structured walkthrough of the current ordering flow, evaluated against Nielsen's usability heuristics, and (b) a synthesis of publicly posted user reviews from Trustpilot, PissedConsumer, G2, and Capterra dated across 2026, used to identify recurring, independently-reported friction points rather than one-off complaints. Where a weakness is cited from reviews, it reflects a pattern across many reviewers, not a single anecdote.</w:t>
      </w:r>
    </w:p>
    <w:p>
      <w:pPr>
        <w:pStyle w:val="Heading1"/>
        <w:pBdr>
          <w:bottom w:val="single" w:color="C43F1B" w:sz="10" w:space="4"/>
        </w:pBdr>
        <w:spacing w:after="140" w:before="320"/>
      </w:pPr>
      <w:r>
        <w:rPr>
          <w:rFonts w:ascii="Georgia" w:cs="Georgia" w:eastAsia="Georgia" w:hAnsi="Georgia"/>
          <w:b/>
          <w:bCs/>
          <w:color w:val="241B15"/>
          <w:sz w:val="30"/>
          <w:szCs w:val="30"/>
        </w:rPr>
        <w:t xml:space="preserve">3. User Journey Map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2600"/>
        <w:gridCol w:w="3100"/>
      </w:tblGrid>
      <w:tr>
        <w:tc>
          <w:tcPr>
            <w:tcW w:type="dxa" w:w="1500"/>
            <w:shd w:fill="C43F1B" w:val="clear"/>
            <w:tcMar>
              <w:top w:type="dxa" w:w="90"/>
              <w:left w:type="dxa" w:w="110"/>
              <w:bottom w:type="dxa" w:w="90"/>
              <w:right w:type="dxa" w:w="110"/>
            </w:tcMar>
            <w:vAlign w:val="top"/>
          </w:tcPr>
          <w:p>
            <w:r>
              <w:rPr>
                <w:rFonts w:ascii="Calibri" w:cs="Calibri" w:eastAsia="Calibri" w:hAnsi="Calibri"/>
                <w:b/>
                <w:bCs/>
                <w:color w:val="FFFFFF"/>
                <w:sz w:val="18"/>
                <w:szCs w:val="18"/>
              </w:rPr>
              <w:t xml:space="preserve">Stage</w:t>
            </w:r>
          </w:p>
        </w:tc>
        <w:tc>
          <w:tcPr>
            <w:tcW w:type="dxa" w:w="2300"/>
            <w:shd w:fill="C43F1B" w:val="clear"/>
            <w:tcMar>
              <w:top w:type="dxa" w:w="90"/>
              <w:left w:type="dxa" w:w="110"/>
              <w:bottom w:type="dxa" w:w="90"/>
              <w:right w:type="dxa" w:w="110"/>
            </w:tcMar>
            <w:vAlign w:val="top"/>
          </w:tcPr>
          <w:p>
            <w:r>
              <w:rPr>
                <w:rFonts w:ascii="Calibri" w:cs="Calibri" w:eastAsia="Calibri" w:hAnsi="Calibri"/>
                <w:b/>
                <w:bCs/>
                <w:color w:val="FFFFFF"/>
                <w:sz w:val="18"/>
                <w:szCs w:val="18"/>
              </w:rPr>
              <w:t xml:space="preserve">User goal</w:t>
            </w:r>
          </w:p>
        </w:tc>
        <w:tc>
          <w:tcPr>
            <w:tcW w:type="dxa" w:w="2600"/>
            <w:shd w:fill="C43F1B" w:val="clear"/>
            <w:tcMar>
              <w:top w:type="dxa" w:w="90"/>
              <w:left w:type="dxa" w:w="110"/>
              <w:bottom w:type="dxa" w:w="90"/>
              <w:right w:type="dxa" w:w="110"/>
            </w:tcMar>
            <w:vAlign w:val="top"/>
          </w:tcPr>
          <w:p>
            <w:r>
              <w:rPr>
                <w:rFonts w:ascii="Calibri" w:cs="Calibri" w:eastAsia="Calibri" w:hAnsi="Calibri"/>
                <w:b/>
                <w:bCs/>
                <w:color w:val="FFFFFF"/>
                <w:sz w:val="18"/>
                <w:szCs w:val="18"/>
              </w:rPr>
              <w:t xml:space="preserve">Key touchpoints</w:t>
            </w:r>
          </w:p>
        </w:tc>
        <w:tc>
          <w:tcPr>
            <w:tcW w:type="dxa" w:w="3100"/>
            <w:shd w:fill="C43F1B" w:val="clear"/>
            <w:tcMar>
              <w:top w:type="dxa" w:w="90"/>
              <w:left w:type="dxa" w:w="110"/>
              <w:bottom w:type="dxa" w:w="90"/>
              <w:right w:type="dxa" w:w="110"/>
            </w:tcMar>
            <w:vAlign w:val="top"/>
          </w:tcPr>
          <w:p>
            <w:r>
              <w:rPr>
                <w:rFonts w:ascii="Calibri" w:cs="Calibri" w:eastAsia="Calibri" w:hAnsi="Calibri"/>
                <w:b/>
                <w:bCs/>
                <w:color w:val="FFFFFF"/>
                <w:sz w:val="18"/>
                <w:szCs w:val="18"/>
              </w:rPr>
              <w:t xml:space="preserve">Friction / emotion</w:t>
            </w:r>
          </w:p>
        </w:tc>
      </w:tr>
      <w:tr>
        <w:tc>
          <w:tcPr>
            <w:tcW w:type="dxa" w:w="1500"/>
            <w:shd w:fill="FFFFFF" w:val="clear"/>
            <w:tcMar>
              <w:top w:type="dxa" w:w="90"/>
              <w:left w:type="dxa" w:w="110"/>
              <w:bottom w:type="dxa" w:w="90"/>
              <w:right w:type="dxa" w:w="110"/>
            </w:tcMar>
            <w:vAlign w:val="top"/>
          </w:tcPr>
          <w:p>
            <w:r>
              <w:rPr>
                <w:rFonts w:ascii="Calibri" w:cs="Calibri" w:eastAsia="Calibri" w:hAnsi="Calibri"/>
                <w:b w:val="false"/>
                <w:bCs w:val="false"/>
                <w:color w:val="241B15"/>
                <w:sz w:val="18"/>
                <w:szCs w:val="18"/>
              </w:rPr>
              <w:t xml:space="preserve">1. Discover</w:t>
            </w:r>
          </w:p>
        </w:tc>
        <w:tc>
          <w:tcPr>
            <w:tcW w:type="dxa" w:w="2300"/>
            <w:shd w:fill="FFFFFF" w:val="clear"/>
            <w:tcMar>
              <w:top w:type="dxa" w:w="90"/>
              <w:left w:type="dxa" w:w="110"/>
              <w:bottom w:type="dxa" w:w="90"/>
              <w:right w:type="dxa" w:w="110"/>
            </w:tcMar>
            <w:vAlign w:val="top"/>
          </w:tcPr>
          <w:p>
            <w:r>
              <w:rPr>
                <w:rFonts w:ascii="Calibri" w:cs="Calibri" w:eastAsia="Calibri" w:hAnsi="Calibri"/>
                <w:b w:val="false"/>
                <w:bCs w:val="false"/>
                <w:color w:val="241B15"/>
                <w:sz w:val="18"/>
                <w:szCs w:val="18"/>
              </w:rPr>
              <w:t xml:space="preserve">Decide what/where to eat</w:t>
            </w:r>
          </w:p>
        </w:tc>
        <w:tc>
          <w:tcPr>
            <w:tcW w:type="dxa" w:w="2600"/>
            <w:shd w:fill="FFFFFF" w:val="clear"/>
            <w:tcMar>
              <w:top w:type="dxa" w:w="90"/>
              <w:left w:type="dxa" w:w="110"/>
              <w:bottom w:type="dxa" w:w="90"/>
              <w:right w:type="dxa" w:w="110"/>
            </w:tcMar>
            <w:vAlign w:val="top"/>
          </w:tcPr>
          <w:p>
            <w:r>
              <w:rPr>
                <w:rFonts w:ascii="Calibri" w:cs="Calibri" w:eastAsia="Calibri" w:hAnsi="Calibri"/>
                <w:b w:val="false"/>
                <w:bCs w:val="false"/>
                <w:color w:val="241B15"/>
                <w:sz w:val="18"/>
                <w:szCs w:val="18"/>
              </w:rPr>
              <w:t xml:space="preserve">App open, location detect, home feed, banners</w:t>
            </w:r>
          </w:p>
        </w:tc>
        <w:tc>
          <w:tcPr>
            <w:tcW w:type="dxa" w:w="3100"/>
            <w:shd w:fill="FFFFFF" w:val="clear"/>
            <w:tcMar>
              <w:top w:type="dxa" w:w="90"/>
              <w:left w:type="dxa" w:w="110"/>
              <w:bottom w:type="dxa" w:w="90"/>
              <w:right w:type="dxa" w:w="110"/>
            </w:tcMar>
            <w:vAlign w:val="top"/>
          </w:tcPr>
          <w:p>
            <w:r>
              <w:rPr>
                <w:rFonts w:ascii="Calibri" w:cs="Calibri" w:eastAsia="Calibri" w:hAnsi="Calibri"/>
                <w:b w:val="false"/>
                <w:bCs w:val="false"/>
                <w:color w:val="241B15"/>
                <w:sz w:val="18"/>
                <w:szCs w:val="18"/>
              </w:rPr>
              <w:t xml:space="preserve">Neutral–positive; feed is fast and visually appealing</w:t>
            </w:r>
          </w:p>
        </w:tc>
      </w:tr>
      <w:tr>
        <w:tc>
          <w:tcPr>
            <w:tcW w:type="dxa" w:w="1500"/>
            <w:shd w:fill="FBF6EC" w:val="clear"/>
            <w:tcMar>
              <w:top w:type="dxa" w:w="90"/>
              <w:left w:type="dxa" w:w="110"/>
              <w:bottom w:type="dxa" w:w="90"/>
              <w:right w:type="dxa" w:w="110"/>
            </w:tcMar>
            <w:vAlign w:val="top"/>
          </w:tcPr>
          <w:p>
            <w:r>
              <w:rPr>
                <w:rFonts w:ascii="Calibri" w:cs="Calibri" w:eastAsia="Calibri" w:hAnsi="Calibri"/>
                <w:b w:val="false"/>
                <w:bCs w:val="false"/>
                <w:color w:val="241B15"/>
                <w:sz w:val="18"/>
                <w:szCs w:val="18"/>
              </w:rPr>
              <w:t xml:space="preserve">2. Browse &amp; choose</w:t>
            </w:r>
          </w:p>
        </w:tc>
        <w:tc>
          <w:tcPr>
            <w:tcW w:type="dxa" w:w="2300"/>
            <w:shd w:fill="FBF6EC" w:val="clear"/>
            <w:tcMar>
              <w:top w:type="dxa" w:w="90"/>
              <w:left w:type="dxa" w:w="110"/>
              <w:bottom w:type="dxa" w:w="90"/>
              <w:right w:type="dxa" w:w="110"/>
            </w:tcMar>
            <w:vAlign w:val="top"/>
          </w:tcPr>
          <w:p>
            <w:r>
              <w:rPr>
                <w:rFonts w:ascii="Calibri" w:cs="Calibri" w:eastAsia="Calibri" w:hAnsi="Calibri"/>
                <w:b w:val="false"/>
                <w:bCs w:val="false"/>
                <w:color w:val="241B15"/>
                <w:sz w:val="18"/>
                <w:szCs w:val="18"/>
              </w:rPr>
              <w:t xml:space="preserve">Compare restaurants/dishes</w:t>
            </w:r>
          </w:p>
        </w:tc>
        <w:tc>
          <w:tcPr>
            <w:tcW w:type="dxa" w:w="2600"/>
            <w:shd w:fill="FBF6EC" w:val="clear"/>
            <w:tcMar>
              <w:top w:type="dxa" w:w="90"/>
              <w:left w:type="dxa" w:w="110"/>
              <w:bottom w:type="dxa" w:w="90"/>
              <w:right w:type="dxa" w:w="110"/>
            </w:tcMar>
            <w:vAlign w:val="top"/>
          </w:tcPr>
          <w:p>
            <w:r>
              <w:rPr>
                <w:rFonts w:ascii="Calibri" w:cs="Calibri" w:eastAsia="Calibri" w:hAnsi="Calibri"/>
                <w:b w:val="false"/>
                <w:bCs w:val="false"/>
                <w:color w:val="241B15"/>
                <w:sz w:val="18"/>
                <w:szCs w:val="18"/>
              </w:rPr>
              <w:t xml:space="preserve">Search, filters, ratings, menu, photos</w:t>
            </w:r>
          </w:p>
        </w:tc>
        <w:tc>
          <w:tcPr>
            <w:tcW w:type="dxa" w:w="3100"/>
            <w:shd w:fill="FBF6EC" w:val="clear"/>
            <w:tcMar>
              <w:top w:type="dxa" w:w="90"/>
              <w:left w:type="dxa" w:w="110"/>
              <w:bottom w:type="dxa" w:w="90"/>
              <w:right w:type="dxa" w:w="110"/>
            </w:tcMar>
            <w:vAlign w:val="top"/>
          </w:tcPr>
          <w:p>
            <w:r>
              <w:rPr>
                <w:rFonts w:ascii="Calibri" w:cs="Calibri" w:eastAsia="Calibri" w:hAnsi="Calibri"/>
                <w:b w:val="false"/>
                <w:bCs w:val="false"/>
                <w:color w:val="241B15"/>
                <w:sz w:val="18"/>
                <w:szCs w:val="18"/>
              </w:rPr>
              <w:t xml:space="preserve">Positive; menus are described as accurate and easy to follow</w:t>
            </w:r>
          </w:p>
        </w:tc>
      </w:tr>
      <w:tr>
        <w:tc>
          <w:tcPr>
            <w:tcW w:type="dxa" w:w="1500"/>
            <w:shd w:fill="FFFFFF" w:val="clear"/>
            <w:tcMar>
              <w:top w:type="dxa" w:w="90"/>
              <w:left w:type="dxa" w:w="110"/>
              <w:bottom w:type="dxa" w:w="90"/>
              <w:right w:type="dxa" w:w="110"/>
            </w:tcMar>
            <w:vAlign w:val="top"/>
          </w:tcPr>
          <w:p>
            <w:r>
              <w:rPr>
                <w:rFonts w:ascii="Calibri" w:cs="Calibri" w:eastAsia="Calibri" w:hAnsi="Calibri"/>
                <w:b w:val="false"/>
                <w:bCs w:val="false"/>
                <w:color w:val="241B15"/>
                <w:sz w:val="18"/>
                <w:szCs w:val="18"/>
              </w:rPr>
              <w:t xml:space="preserve">3. Order &amp; pay</w:t>
            </w:r>
          </w:p>
        </w:tc>
        <w:tc>
          <w:tcPr>
            <w:tcW w:type="dxa" w:w="2300"/>
            <w:shd w:fill="FFFFFF" w:val="clear"/>
            <w:tcMar>
              <w:top w:type="dxa" w:w="90"/>
              <w:left w:type="dxa" w:w="110"/>
              <w:bottom w:type="dxa" w:w="90"/>
              <w:right w:type="dxa" w:w="110"/>
            </w:tcMar>
            <w:vAlign w:val="top"/>
          </w:tcPr>
          <w:p>
            <w:r>
              <w:rPr>
                <w:rFonts w:ascii="Calibri" w:cs="Calibri" w:eastAsia="Calibri" w:hAnsi="Calibri"/>
                <w:b w:val="false"/>
                <w:bCs w:val="false"/>
                <w:color w:val="241B15"/>
                <w:sz w:val="18"/>
                <w:szCs w:val="18"/>
              </w:rPr>
              <w:t xml:space="preserve">Complete purchase with confidence</w:t>
            </w:r>
          </w:p>
        </w:tc>
        <w:tc>
          <w:tcPr>
            <w:tcW w:type="dxa" w:w="2600"/>
            <w:shd w:fill="FFFFFF" w:val="clear"/>
            <w:tcMar>
              <w:top w:type="dxa" w:w="90"/>
              <w:left w:type="dxa" w:w="110"/>
              <w:bottom w:type="dxa" w:w="90"/>
              <w:right w:type="dxa" w:w="110"/>
            </w:tcMar>
            <w:vAlign w:val="top"/>
          </w:tcPr>
          <w:p>
            <w:r>
              <w:rPr>
                <w:rFonts w:ascii="Calibri" w:cs="Calibri" w:eastAsia="Calibri" w:hAnsi="Calibri"/>
                <w:b w:val="false"/>
                <w:bCs w:val="false"/>
                <w:color w:val="241B15"/>
                <w:sz w:val="18"/>
                <w:szCs w:val="18"/>
              </w:rPr>
              <w:t xml:space="preserve">Cart, coupon field, fee summary, payment</w:t>
            </w:r>
          </w:p>
        </w:tc>
        <w:tc>
          <w:tcPr>
            <w:tcW w:type="dxa" w:w="3100"/>
            <w:shd w:fill="FFFFFF" w:val="clear"/>
            <w:tcMar>
              <w:top w:type="dxa" w:w="90"/>
              <w:left w:type="dxa" w:w="110"/>
              <w:bottom w:type="dxa" w:w="90"/>
              <w:right w:type="dxa" w:w="110"/>
            </w:tcMar>
            <w:vAlign w:val="top"/>
          </w:tcPr>
          <w:p>
            <w:r>
              <w:rPr>
                <w:rFonts w:ascii="Calibri" w:cs="Calibri" w:eastAsia="Calibri" w:hAnsi="Calibri"/>
                <w:b w:val="false"/>
                <w:bCs w:val="false"/>
                <w:color w:val="241B15"/>
                <w:sz w:val="18"/>
                <w:szCs w:val="18"/>
              </w:rPr>
              <w:t xml:space="preserve">Mixed; delivery/platform fees often only fully clear at final step</w:t>
            </w:r>
          </w:p>
        </w:tc>
      </w:tr>
      <w:tr>
        <w:tc>
          <w:tcPr>
            <w:tcW w:type="dxa" w:w="1500"/>
            <w:shd w:fill="FBF6EC" w:val="clear"/>
            <w:tcMar>
              <w:top w:type="dxa" w:w="90"/>
              <w:left w:type="dxa" w:w="110"/>
              <w:bottom w:type="dxa" w:w="90"/>
              <w:right w:type="dxa" w:w="110"/>
            </w:tcMar>
            <w:vAlign w:val="top"/>
          </w:tcPr>
          <w:p>
            <w:r>
              <w:rPr>
                <w:rFonts w:ascii="Calibri" w:cs="Calibri" w:eastAsia="Calibri" w:hAnsi="Calibri"/>
                <w:b w:val="false"/>
                <w:bCs w:val="false"/>
                <w:color w:val="241B15"/>
                <w:sz w:val="18"/>
                <w:szCs w:val="18"/>
              </w:rPr>
              <w:t xml:space="preserve">4. Track</w:t>
            </w:r>
          </w:p>
        </w:tc>
        <w:tc>
          <w:tcPr>
            <w:tcW w:type="dxa" w:w="2300"/>
            <w:shd w:fill="FBF6EC" w:val="clear"/>
            <w:tcMar>
              <w:top w:type="dxa" w:w="90"/>
              <w:left w:type="dxa" w:w="110"/>
              <w:bottom w:type="dxa" w:w="90"/>
              <w:right w:type="dxa" w:w="110"/>
            </w:tcMar>
            <w:vAlign w:val="top"/>
          </w:tcPr>
          <w:p>
            <w:r>
              <w:rPr>
                <w:rFonts w:ascii="Calibri" w:cs="Calibri" w:eastAsia="Calibri" w:hAnsi="Calibri"/>
                <w:b w:val="false"/>
                <w:bCs w:val="false"/>
                <w:color w:val="241B15"/>
                <w:sz w:val="18"/>
                <w:szCs w:val="18"/>
              </w:rPr>
              <w:t xml:space="preserve">Know when food will arrive</w:t>
            </w:r>
          </w:p>
        </w:tc>
        <w:tc>
          <w:tcPr>
            <w:tcW w:type="dxa" w:w="2600"/>
            <w:shd w:fill="FBF6EC" w:val="clear"/>
            <w:tcMar>
              <w:top w:type="dxa" w:w="90"/>
              <w:left w:type="dxa" w:w="110"/>
              <w:bottom w:type="dxa" w:w="90"/>
              <w:right w:type="dxa" w:w="110"/>
            </w:tcMar>
            <w:vAlign w:val="top"/>
          </w:tcPr>
          <w:p>
            <w:r>
              <w:rPr>
                <w:rFonts w:ascii="Calibri" w:cs="Calibri" w:eastAsia="Calibri" w:hAnsi="Calibri"/>
                <w:b w:val="false"/>
                <w:bCs w:val="false"/>
                <w:color w:val="241B15"/>
                <w:sz w:val="18"/>
                <w:szCs w:val="18"/>
              </w:rPr>
              <w:t xml:space="preserve">Live map, rider status, ETA</w:t>
            </w:r>
          </w:p>
        </w:tc>
        <w:tc>
          <w:tcPr>
            <w:tcW w:type="dxa" w:w="3100"/>
            <w:shd w:fill="FBF6EC" w:val="clear"/>
            <w:tcMar>
              <w:top w:type="dxa" w:w="90"/>
              <w:left w:type="dxa" w:w="110"/>
              <w:bottom w:type="dxa" w:w="90"/>
              <w:right w:type="dxa" w:w="110"/>
            </w:tcMar>
            <w:vAlign w:val="top"/>
          </w:tcPr>
          <w:p>
            <w:r>
              <w:rPr>
                <w:rFonts w:ascii="Calibri" w:cs="Calibri" w:eastAsia="Calibri" w:hAnsi="Calibri"/>
                <w:b w:val="false"/>
                <w:bCs w:val="false"/>
                <w:color w:val="241B15"/>
                <w:sz w:val="18"/>
                <w:szCs w:val="18"/>
              </w:rPr>
              <w:t xml:space="preserve">Mixed; ETA and tracking sync issues reported during peak hours</w:t>
            </w:r>
          </w:p>
        </w:tc>
      </w:tr>
      <w:tr>
        <w:tc>
          <w:tcPr>
            <w:tcW w:type="dxa" w:w="1500"/>
            <w:shd w:fill="FFFFFF" w:val="clear"/>
            <w:tcMar>
              <w:top w:type="dxa" w:w="90"/>
              <w:left w:type="dxa" w:w="110"/>
              <w:bottom w:type="dxa" w:w="90"/>
              <w:right w:type="dxa" w:w="110"/>
            </w:tcMar>
            <w:vAlign w:val="top"/>
          </w:tcPr>
          <w:p>
            <w:r>
              <w:rPr>
                <w:rFonts w:ascii="Calibri" w:cs="Calibri" w:eastAsia="Calibri" w:hAnsi="Calibri"/>
                <w:b w:val="false"/>
                <w:bCs w:val="false"/>
                <w:color w:val="241B15"/>
                <w:sz w:val="18"/>
                <w:szCs w:val="18"/>
              </w:rPr>
              <w:t xml:space="preserve">5. Receive</w:t>
            </w:r>
          </w:p>
        </w:tc>
        <w:tc>
          <w:tcPr>
            <w:tcW w:type="dxa" w:w="2300"/>
            <w:shd w:fill="FFFFFF" w:val="clear"/>
            <w:tcMar>
              <w:top w:type="dxa" w:w="90"/>
              <w:left w:type="dxa" w:w="110"/>
              <w:bottom w:type="dxa" w:w="90"/>
              <w:right w:type="dxa" w:w="110"/>
            </w:tcMar>
            <w:vAlign w:val="top"/>
          </w:tcPr>
          <w:p>
            <w:r>
              <w:rPr>
                <w:rFonts w:ascii="Calibri" w:cs="Calibri" w:eastAsia="Calibri" w:hAnsi="Calibri"/>
                <w:b w:val="false"/>
                <w:bCs w:val="false"/>
                <w:color w:val="241B15"/>
                <w:sz w:val="18"/>
                <w:szCs w:val="18"/>
              </w:rPr>
              <w:t xml:space="preserve">Get the correct, complete order</w:t>
            </w:r>
          </w:p>
        </w:tc>
        <w:tc>
          <w:tcPr>
            <w:tcW w:type="dxa" w:w="2600"/>
            <w:shd w:fill="FFFFFF" w:val="clear"/>
            <w:tcMar>
              <w:top w:type="dxa" w:w="90"/>
              <w:left w:type="dxa" w:w="110"/>
              <w:bottom w:type="dxa" w:w="90"/>
              <w:right w:type="dxa" w:w="110"/>
            </w:tcMar>
            <w:vAlign w:val="top"/>
          </w:tcPr>
          <w:p>
            <w:r>
              <w:rPr>
                <w:rFonts w:ascii="Calibri" w:cs="Calibri" w:eastAsia="Calibri" w:hAnsi="Calibri"/>
                <w:b w:val="false"/>
                <w:bCs w:val="false"/>
                <w:color w:val="241B15"/>
                <w:sz w:val="18"/>
                <w:szCs w:val="18"/>
              </w:rPr>
              <w:t xml:space="preserve">Handover, packaging, item check</w:t>
            </w:r>
          </w:p>
        </w:tc>
        <w:tc>
          <w:tcPr>
            <w:tcW w:type="dxa" w:w="3100"/>
            <w:shd w:fill="FFFFFF" w:val="clear"/>
            <w:tcMar>
              <w:top w:type="dxa" w:w="90"/>
              <w:left w:type="dxa" w:w="110"/>
              <w:bottom w:type="dxa" w:w="90"/>
              <w:right w:type="dxa" w:w="110"/>
            </w:tcMar>
            <w:vAlign w:val="top"/>
          </w:tcPr>
          <w:p>
            <w:r>
              <w:rPr>
                <w:rFonts w:ascii="Calibri" w:cs="Calibri" w:eastAsia="Calibri" w:hAnsi="Calibri"/>
                <w:b w:val="false"/>
                <w:bCs w:val="false"/>
                <w:color w:val="241B15"/>
                <w:sz w:val="18"/>
                <w:szCs w:val="18"/>
              </w:rPr>
              <w:t xml:space="preserve">Negative when items are missing/wrong — a recurring complaint</w:t>
            </w:r>
          </w:p>
        </w:tc>
      </w:tr>
      <w:tr>
        <w:tc>
          <w:tcPr>
            <w:tcW w:type="dxa" w:w="1500"/>
            <w:shd w:fill="FBF6EC" w:val="clear"/>
            <w:tcMar>
              <w:top w:type="dxa" w:w="90"/>
              <w:left w:type="dxa" w:w="110"/>
              <w:bottom w:type="dxa" w:w="90"/>
              <w:right w:type="dxa" w:w="110"/>
            </w:tcMar>
            <w:vAlign w:val="top"/>
          </w:tcPr>
          <w:p>
            <w:r>
              <w:rPr>
                <w:rFonts w:ascii="Calibri" w:cs="Calibri" w:eastAsia="Calibri" w:hAnsi="Calibri"/>
                <w:b w:val="false"/>
                <w:bCs w:val="false"/>
                <w:color w:val="241B15"/>
                <w:sz w:val="18"/>
                <w:szCs w:val="18"/>
              </w:rPr>
              <w:t xml:space="preserve">6. Post-order</w:t>
            </w:r>
          </w:p>
        </w:tc>
        <w:tc>
          <w:tcPr>
            <w:tcW w:type="dxa" w:w="2300"/>
            <w:shd w:fill="FBF6EC" w:val="clear"/>
            <w:tcMar>
              <w:top w:type="dxa" w:w="90"/>
              <w:left w:type="dxa" w:w="110"/>
              <w:bottom w:type="dxa" w:w="90"/>
              <w:right w:type="dxa" w:w="110"/>
            </w:tcMar>
            <w:vAlign w:val="top"/>
          </w:tcPr>
          <w:p>
            <w:r>
              <w:rPr>
                <w:rFonts w:ascii="Calibri" w:cs="Calibri" w:eastAsia="Calibri" w:hAnsi="Calibri"/>
                <w:b w:val="false"/>
                <w:bCs w:val="false"/>
                <w:color w:val="241B15"/>
                <w:sz w:val="18"/>
                <w:szCs w:val="18"/>
              </w:rPr>
              <w:t xml:space="preserve">Resolve issues / rate experience</w:t>
            </w:r>
          </w:p>
        </w:tc>
        <w:tc>
          <w:tcPr>
            <w:tcW w:type="dxa" w:w="2600"/>
            <w:shd w:fill="FBF6EC" w:val="clear"/>
            <w:tcMar>
              <w:top w:type="dxa" w:w="90"/>
              <w:left w:type="dxa" w:w="110"/>
              <w:bottom w:type="dxa" w:w="90"/>
              <w:right w:type="dxa" w:w="110"/>
            </w:tcMar>
            <w:vAlign w:val="top"/>
          </w:tcPr>
          <w:p>
            <w:r>
              <w:rPr>
                <w:rFonts w:ascii="Calibri" w:cs="Calibri" w:eastAsia="Calibri" w:hAnsi="Calibri"/>
                <w:b w:val="false"/>
                <w:bCs w:val="false"/>
                <w:color w:val="241B15"/>
                <w:sz w:val="18"/>
                <w:szCs w:val="18"/>
              </w:rPr>
              <w:t xml:space="preserve">Chat support, refund flow, rating prompt</w:t>
            </w:r>
          </w:p>
        </w:tc>
        <w:tc>
          <w:tcPr>
            <w:tcW w:type="dxa" w:w="3100"/>
            <w:shd w:fill="FBF6EC" w:val="clear"/>
            <w:tcMar>
              <w:top w:type="dxa" w:w="90"/>
              <w:left w:type="dxa" w:w="110"/>
              <w:bottom w:type="dxa" w:w="90"/>
              <w:right w:type="dxa" w:w="110"/>
            </w:tcMar>
            <w:vAlign w:val="top"/>
          </w:tcPr>
          <w:p>
            <w:r>
              <w:rPr>
                <w:rFonts w:ascii="Calibri" w:cs="Calibri" w:eastAsia="Calibri" w:hAnsi="Calibri"/>
                <w:b w:val="false"/>
                <w:bCs w:val="false"/>
                <w:color w:val="241B15"/>
                <w:sz w:val="18"/>
                <w:szCs w:val="18"/>
              </w:rPr>
              <w:t xml:space="preserve">Negative; refunds seen as slow, partial, or hard to escalate</w:t>
            </w:r>
          </w:p>
        </w:tc>
      </w:tr>
    </w:tbl>
    <w:p>
      <w:pPr>
        <w:spacing w:after="260" w:before="80"/>
        <w:jc w:val="center"/>
      </w:pPr>
      <w:r>
        <w:rPr>
          <w:rFonts w:ascii="Calibri" w:cs="Calibri" w:eastAsia="Calibri" w:hAnsi="Calibri"/>
          <w:i/>
          <w:iCs/>
          <w:color w:val="5C5044"/>
          <w:sz w:val="18"/>
          <w:szCs w:val="18"/>
        </w:rPr>
        <w:t xml:space="preserve">Table 1 — the core ordering journey, from app open to post-order resolution.</w:t>
      </w:r>
    </w:p>
    <w:p>
      <w:pPr>
        <w:pStyle w:val="Heading1"/>
        <w:pBdr>
          <w:bottom w:val="single" w:color="C43F1B" w:sz="10" w:space="4"/>
        </w:pBdr>
        <w:spacing w:after="140" w:before="320"/>
      </w:pPr>
      <w:r>
        <w:rPr>
          <w:rFonts w:ascii="Georgia" w:cs="Georgia" w:eastAsia="Georgia" w:hAnsi="Georgia"/>
          <w:b/>
          <w:bCs/>
          <w:color w:val="241B15"/>
          <w:sz w:val="30"/>
          <w:szCs w:val="30"/>
        </w:rPr>
        <w:t xml:space="preserve">4. Strengths</w:t>
      </w:r>
    </w:p>
    <w:p>
      <w:pPr>
        <w:pStyle w:val="ListParagraph"/>
        <w:numPr>
          <w:ilvl w:val="0"/>
          <w:numId w:val="2"/>
        </w:numPr>
        <w:spacing w:after="90" w:line="290"/>
      </w:pPr>
      <w:r>
        <w:rPr>
          <w:rFonts w:ascii="Calibri" w:cs="Calibri" w:eastAsia="Calibri" w:hAnsi="Calibri"/>
          <w:b/>
          <w:bCs/>
          <w:color w:val="241B15"/>
          <w:sz w:val="21"/>
          <w:szCs w:val="21"/>
        </w:rPr>
        <w:t xml:space="preserve">Accurate, well-structured menus — </w:t>
      </w:r>
      <w:r>
        <w:rPr>
          <w:rFonts w:ascii="Calibri" w:cs="Calibri" w:eastAsia="Calibri" w:hAnsi="Calibri"/>
          <w:color w:val="241B15"/>
          <w:sz w:val="21"/>
          <w:szCs w:val="21"/>
        </w:rPr>
        <w:t xml:space="preserve">menus were repeatedly described as accurate and easy to follow, reducing pre-order uncertainty.</w:t>
      </w:r>
    </w:p>
    <w:p>
      <w:pPr>
        <w:pStyle w:val="ListParagraph"/>
        <w:numPr>
          <w:ilvl w:val="0"/>
          <w:numId w:val="2"/>
        </w:numPr>
        <w:spacing w:after="90" w:line="290"/>
      </w:pPr>
      <w:r>
        <w:rPr>
          <w:rFonts w:ascii="Calibri" w:cs="Calibri" w:eastAsia="Calibri" w:hAnsi="Calibri"/>
          <w:b/>
          <w:bCs/>
          <w:color w:val="241B15"/>
          <w:sz w:val="21"/>
          <w:szCs w:val="21"/>
        </w:rPr>
        <w:t xml:space="preserve">Low-friction browsing &amp; ordering — </w:t>
      </w:r>
      <w:r>
        <w:rPr>
          <w:rFonts w:ascii="Calibri" w:cs="Calibri" w:eastAsia="Calibri" w:hAnsi="Calibri"/>
          <w:color w:val="241B15"/>
          <w:sz w:val="21"/>
          <w:szCs w:val="21"/>
        </w:rPr>
        <w:t xml:space="preserve">reviewers highlight a friendly, easy-to-navigate interface and a fast path from search to order.</w:t>
      </w:r>
    </w:p>
    <w:p>
      <w:pPr>
        <w:pStyle w:val="ListParagraph"/>
        <w:numPr>
          <w:ilvl w:val="0"/>
          <w:numId w:val="2"/>
        </w:numPr>
        <w:spacing w:after="90" w:line="290"/>
      </w:pPr>
      <w:r>
        <w:rPr>
          <w:rFonts w:ascii="Calibri" w:cs="Calibri" w:eastAsia="Calibri" w:hAnsi="Calibri"/>
          <w:b/>
          <w:bCs/>
          <w:color w:val="241B15"/>
          <w:sz w:val="21"/>
          <w:szCs w:val="21"/>
        </w:rPr>
        <w:t xml:space="preserve">Strong packaging quality — </w:t>
      </w:r>
      <w:r>
        <w:rPr>
          <w:rFonts w:ascii="Calibri" w:cs="Calibri" w:eastAsia="Calibri" w:hAnsi="Calibri"/>
          <w:color w:val="241B15"/>
          <w:sz w:val="21"/>
          <w:szCs w:val="21"/>
        </w:rPr>
        <w:t xml:space="preserve">food is reported as arriving well packed, with sturdy containers — a detail several reviewers called out unprompted.</w:t>
      </w:r>
    </w:p>
    <w:p>
      <w:pPr>
        <w:pStyle w:val="ListParagraph"/>
        <w:numPr>
          <w:ilvl w:val="0"/>
          <w:numId w:val="2"/>
        </w:numPr>
        <w:spacing w:after="90" w:line="290"/>
      </w:pPr>
      <w:r>
        <w:rPr>
          <w:rFonts w:ascii="Calibri" w:cs="Calibri" w:eastAsia="Calibri" w:hAnsi="Calibri"/>
          <w:b/>
          <w:bCs/>
          <w:color w:val="241B15"/>
          <w:sz w:val="21"/>
          <w:szCs w:val="21"/>
        </w:rPr>
        <w:t xml:space="preserve">Real-time restaurant-side tools — </w:t>
      </w:r>
      <w:r>
        <w:rPr>
          <w:rFonts w:ascii="Calibri" w:cs="Calibri" w:eastAsia="Calibri" w:hAnsi="Calibri"/>
          <w:color w:val="241B15"/>
          <w:sz w:val="21"/>
          <w:szCs w:val="21"/>
        </w:rPr>
        <w:t xml:space="preserve">restaurant partners praise real-time menu and item-availability toggles, which keeps what customers see closer to what's actually sellable.</w:t>
      </w:r>
    </w:p>
    <w:p>
      <w:pPr>
        <w:pStyle w:val="ListParagraph"/>
        <w:numPr>
          <w:ilvl w:val="0"/>
          <w:numId w:val="2"/>
        </w:numPr>
        <w:spacing w:after="90" w:line="290"/>
      </w:pPr>
      <w:r>
        <w:rPr>
          <w:rFonts w:ascii="Calibri" w:cs="Calibri" w:eastAsia="Calibri" w:hAnsi="Calibri"/>
          <w:b/>
          <w:bCs/>
          <w:color w:val="241B15"/>
          <w:sz w:val="21"/>
          <w:szCs w:val="21"/>
        </w:rPr>
        <w:t xml:space="preserve">Broad discovery — </w:t>
      </w:r>
      <w:r>
        <w:rPr>
          <w:rFonts w:ascii="Calibri" w:cs="Calibri" w:eastAsia="Calibri" w:hAnsi="Calibri"/>
          <w:color w:val="241B15"/>
          <w:sz w:val="21"/>
          <w:szCs w:val="21"/>
        </w:rPr>
        <w:t xml:space="preserve">wide restaurant selection with ratings and filters makes discovery feel comprehensive rather than limited.</w:t>
      </w:r>
    </w:p>
    <w:p>
      <w:pPr>
        <w:pStyle w:val="Heading1"/>
        <w:pBdr>
          <w:bottom w:val="single" w:color="C43F1B" w:sz="10" w:space="4"/>
        </w:pBdr>
        <w:spacing w:after="140" w:before="320"/>
      </w:pPr>
      <w:r>
        <w:rPr>
          <w:rFonts w:ascii="Georgia" w:cs="Georgia" w:eastAsia="Georgia" w:hAnsi="Georgia"/>
          <w:b/>
          <w:bCs/>
          <w:color w:val="241B15"/>
          <w:sz w:val="30"/>
          <w:szCs w:val="30"/>
        </w:rPr>
        <w:t xml:space="preserve">5. Weaknesses</w:t>
      </w:r>
    </w:p>
    <w:p>
      <w:pPr>
        <w:pStyle w:val="ListParagraph"/>
        <w:numPr>
          <w:ilvl w:val="0"/>
          <w:numId w:val="2"/>
        </w:numPr>
        <w:spacing w:after="90" w:line="290"/>
      </w:pPr>
      <w:r>
        <w:rPr>
          <w:rFonts w:ascii="Calibri" w:cs="Calibri" w:eastAsia="Calibri" w:hAnsi="Calibri"/>
          <w:b/>
          <w:bCs/>
          <w:color w:val="241B15"/>
          <w:sz w:val="21"/>
          <w:szCs w:val="21"/>
        </w:rPr>
        <w:t xml:space="preserve">Slow, opaque refunds — </w:t>
      </w:r>
      <w:r>
        <w:rPr>
          <w:rFonts w:ascii="Calibri" w:cs="Calibri" w:eastAsia="Calibri" w:hAnsi="Calibri"/>
          <w:color w:val="241B15"/>
          <w:sz w:val="21"/>
          <w:szCs w:val="21"/>
        </w:rPr>
        <w:t xml:space="preserve">PissedConsumer aggregates a 1.4/5 average across ~9,600 reviews, with refunds and billing as the top cited reason; multiple reviewers describe partial refunds with no visible breakdown of how the amount was calculated.</w:t>
      </w:r>
    </w:p>
    <w:p>
      <w:pPr>
        <w:pStyle w:val="ListParagraph"/>
        <w:numPr>
          <w:ilvl w:val="0"/>
          <w:numId w:val="2"/>
        </w:numPr>
        <w:spacing w:after="90" w:line="290"/>
      </w:pPr>
      <w:r>
        <w:rPr>
          <w:rFonts w:ascii="Calibri" w:cs="Calibri" w:eastAsia="Calibri" w:hAnsi="Calibri"/>
          <w:b/>
          <w:bCs/>
          <w:color w:val="241B15"/>
          <w:sz w:val="21"/>
          <w:szCs w:val="21"/>
        </w:rPr>
        <w:t xml:space="preserve">Support is hard to escalate — </w:t>
      </w:r>
      <w:r>
        <w:rPr>
          <w:rFonts w:ascii="Calibri" w:cs="Calibri" w:eastAsia="Calibri" w:hAnsi="Calibri"/>
          <w:color w:val="241B15"/>
          <w:sz w:val="21"/>
          <w:szCs w:val="21"/>
        </w:rPr>
        <w:t xml:space="preserve">several reviewers report support is chat-only, with listed phone numbers described as switched off or invalid — frustrating during time-sensitive delivery issues.</w:t>
      </w:r>
    </w:p>
    <w:p>
      <w:pPr>
        <w:pStyle w:val="ListParagraph"/>
        <w:numPr>
          <w:ilvl w:val="0"/>
          <w:numId w:val="2"/>
        </w:numPr>
        <w:spacing w:after="90" w:line="290"/>
      </w:pPr>
      <w:r>
        <w:rPr>
          <w:rFonts w:ascii="Calibri" w:cs="Calibri" w:eastAsia="Calibri" w:hAnsi="Calibri"/>
          <w:b/>
          <w:bCs/>
          <w:color w:val="241B15"/>
          <w:sz w:val="21"/>
          <w:szCs w:val="21"/>
        </w:rPr>
        <w:t xml:space="preserve">Order accuracy issues — </w:t>
      </w:r>
      <w:r>
        <w:rPr>
          <w:rFonts w:ascii="Calibri" w:cs="Calibri" w:eastAsia="Calibri" w:hAnsi="Calibri"/>
          <w:color w:val="241B15"/>
          <w:sz w:val="21"/>
          <w:szCs w:val="21"/>
        </w:rPr>
        <w:t xml:space="preserve">missing or substituted items (e.g., an order arriving without one dish) appear repeatedly, with the current recovery path requiring a multi-step chat conversation.</w:t>
      </w:r>
    </w:p>
    <w:p>
      <w:pPr>
        <w:pStyle w:val="ListParagraph"/>
        <w:numPr>
          <w:ilvl w:val="0"/>
          <w:numId w:val="2"/>
        </w:numPr>
        <w:spacing w:after="90" w:line="290"/>
      </w:pPr>
      <w:r>
        <w:rPr>
          <w:rFonts w:ascii="Calibri" w:cs="Calibri" w:eastAsia="Calibri" w:hAnsi="Calibri"/>
          <w:b/>
          <w:bCs/>
          <w:color w:val="241B15"/>
          <w:sz w:val="21"/>
          <w:szCs w:val="21"/>
        </w:rPr>
        <w:t xml:space="preserve">Fee transparency — </w:t>
      </w:r>
      <w:r>
        <w:rPr>
          <w:rFonts w:ascii="Calibri" w:cs="Calibri" w:eastAsia="Calibri" w:hAnsi="Calibri"/>
          <w:color w:val="241B15"/>
          <w:sz w:val="21"/>
          <w:szCs w:val="21"/>
        </w:rPr>
        <w:t xml:space="preserve">reviewers on G2 and Trustpilot describe delivery and platform fees as high and, in some cases, unclear until the final payment step.</w:t>
      </w:r>
    </w:p>
    <w:p>
      <w:pPr>
        <w:pStyle w:val="ListParagraph"/>
        <w:numPr>
          <w:ilvl w:val="0"/>
          <w:numId w:val="2"/>
        </w:numPr>
        <w:spacing w:after="90" w:line="290"/>
      </w:pPr>
      <w:r>
        <w:rPr>
          <w:rFonts w:ascii="Calibri" w:cs="Calibri" w:eastAsia="Calibri" w:hAnsi="Calibri"/>
          <w:b/>
          <w:bCs/>
          <w:color w:val="241B15"/>
          <w:sz w:val="21"/>
          <w:szCs w:val="21"/>
        </w:rPr>
        <w:t xml:space="preserve">Inconsistent policy disclosure — </w:t>
      </w:r>
      <w:r>
        <w:rPr>
          <w:rFonts w:ascii="Calibri" w:cs="Calibri" w:eastAsia="Calibri" w:hAnsi="Calibri"/>
          <w:color w:val="241B15"/>
          <w:sz w:val="21"/>
          <w:szCs w:val="21"/>
        </w:rPr>
        <w:t xml:space="preserve">a Trustpilot reviewer describes a restaurant time-limit policy that wasn't shown at booking — a smaller but related transparency gap outside pure delivery.</w:t>
      </w:r>
    </w:p>
    <w:p>
      <w:pPr>
        <w:pStyle w:val="Heading1"/>
        <w:pBdr>
          <w:bottom w:val="single" w:color="C43F1B" w:sz="10" w:space="4"/>
        </w:pBdr>
        <w:spacing w:after="140" w:before="320"/>
      </w:pPr>
      <w:r>
        <w:rPr>
          <w:rFonts w:ascii="Georgia" w:cs="Georgia" w:eastAsia="Georgia" w:hAnsi="Georgia"/>
          <w:b/>
          <w:bCs/>
          <w:color w:val="241B15"/>
          <w:sz w:val="30"/>
          <w:szCs w:val="30"/>
        </w:rPr>
        <w:t xml:space="preserve">6. Three Proposed Improvements</w:t>
      </w:r>
    </w:p>
    <w:p>
      <w:pPr>
        <w:spacing w:after="140" w:line="300"/>
      </w:pPr>
      <w:r>
        <w:rPr>
          <w:rFonts w:ascii="Calibri" w:cs="Calibri" w:eastAsia="Calibri" w:hAnsi="Calibri"/>
          <w:i w:val="false"/>
          <w:iCs w:val="false"/>
          <w:color w:val="241B15"/>
          <w:sz w:val="21"/>
          <w:szCs w:val="21"/>
        </w:rPr>
        <w:t xml:space="preserve">Each improvement below targets a specific, review-backed pain point above, and is illustrated with a low-fidelity sketch showing the concept on the existing screen it would modify.</w:t>
      </w:r>
    </w:p>
    <w:p>
      <w:pPr>
        <w:pStyle w:val="Heading2"/>
        <w:spacing w:after="100" w:before="220"/>
      </w:pPr>
      <w:r>
        <w:rPr>
          <w:rFonts w:ascii="Georgia" w:cs="Georgia" w:eastAsia="Georgia" w:hAnsi="Georgia"/>
          <w:b/>
          <w:bCs/>
          <w:color w:val="C43F1B"/>
          <w:sz w:val="23"/>
          <w:szCs w:val="23"/>
        </w:rPr>
        <w:t xml:space="preserve">6.1  Self-Serve Refund &amp; Dispute Tracker</w:t>
      </w:r>
    </w:p>
    <w:p>
      <w:pPr>
        <w:spacing w:after="140" w:line="300"/>
      </w:pPr>
      <w:r>
        <w:rPr>
          <w:rFonts w:ascii="Calibri" w:cs="Calibri" w:eastAsia="Calibri" w:hAnsi="Calibri"/>
          <w:i w:val="false"/>
          <w:iCs w:val="false"/>
          <w:color w:val="241B15"/>
          <w:sz w:val="21"/>
          <w:szCs w:val="21"/>
        </w:rPr>
        <w:t xml:space="preserve">Problem: refund status is currently opaque — communicated only through chat, with no visibility into stage or reasoning, which is the single most cited complaint in the reviews sampled.</w:t>
      </w:r>
    </w:p>
    <w:p>
      <w:pPr>
        <w:spacing w:after="140" w:line="300"/>
      </w:pPr>
      <w:r>
        <w:rPr>
          <w:rFonts w:ascii="Calibri" w:cs="Calibri" w:eastAsia="Calibri" w:hAnsi="Calibri"/>
          <w:i w:val="false"/>
          <w:iCs w:val="false"/>
          <w:color w:val="241B15"/>
          <w:sz w:val="21"/>
          <w:szCs w:val="21"/>
        </w:rPr>
        <w:t xml:space="preserve">Solution: a persistent 4-stage tracker (Reported → Under review → Refund approved → Credited) attached to the order, with a live status label, an itemized "refund breakdown" so the user sees exactly what was approved, and automatic escalation to a human agent if a stage exceeds its SLA.</w:t>
      </w:r>
    </w:p>
    <w:p>
      <w:pPr>
        <w:spacing w:after="40" w:before="120"/>
        <w:jc w:val="center"/>
      </w:pPr>
      <w:r>
        <w:drawing>
          <wp:inline distT="0" distB="0" distL="0" distR="0">
            <wp:extent cx="447675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3467100"/>
                    </a:xfrm>
                    <a:prstGeom prst="rect">
                      <a:avLst/>
                    </a:prstGeom>
                  </pic:spPr>
                </pic:pic>
              </a:graphicData>
            </a:graphic>
          </wp:inline>
        </w:drawing>
      </w:r>
    </w:p>
    <w:p>
      <w:pPr>
        <w:spacing w:after="260" w:before="80"/>
        <w:jc w:val="center"/>
      </w:pPr>
      <w:r>
        <w:rPr>
          <w:rFonts w:ascii="Calibri" w:cs="Calibri" w:eastAsia="Calibri" w:hAnsi="Calibri"/>
          <w:i/>
          <w:iCs/>
          <w:color w:val="5C5044"/>
          <w:sz w:val="18"/>
          <w:szCs w:val="18"/>
        </w:rPr>
        <w:t xml:space="preserve">Fig. 1 — refund tracker concept, applied to the existing order-status screen.</w:t>
      </w:r>
    </w:p>
    <w:p>
      <w:pPr>
        <w:pStyle w:val="Heading2"/>
        <w:spacing w:after="100" w:before="220"/>
      </w:pPr>
      <w:r>
        <w:rPr>
          <w:rFonts w:ascii="Georgia" w:cs="Georgia" w:eastAsia="Georgia" w:hAnsi="Georgia"/>
          <w:b/>
          <w:bCs/>
          <w:color w:val="C43F1B"/>
          <w:sz w:val="23"/>
          <w:szCs w:val="23"/>
        </w:rPr>
        <w:t xml:space="preserve">6.2  Packing Checklist &amp; Missing-Item Reporting</w:t>
      </w:r>
    </w:p>
    <w:p>
      <w:pPr>
        <w:spacing w:after="140" w:line="300"/>
      </w:pPr>
      <w:r>
        <w:rPr>
          <w:rFonts w:ascii="Calibri" w:cs="Calibri" w:eastAsia="Calibri" w:hAnsi="Calibri"/>
          <w:i w:val="false"/>
          <w:iCs w:val="false"/>
          <w:color w:val="241B15"/>
          <w:sz w:val="21"/>
          <w:szCs w:val="21"/>
        </w:rPr>
        <w:t xml:space="preserve">Problem: missing or wrong items are a recurring complaint, and today's recovery path (chat, re-explaining the order, waiting for a decision) is slow and inconsistent.</w:t>
      </w:r>
    </w:p>
    <w:p>
      <w:pPr>
        <w:spacing w:after="140" w:line="300"/>
      </w:pPr>
      <w:r>
        <w:rPr>
          <w:rFonts w:ascii="Calibri" w:cs="Calibri" w:eastAsia="Calibri" w:hAnsi="Calibri"/>
          <w:i w:val="false"/>
          <w:iCs w:val="false"/>
          <w:color w:val="241B15"/>
          <w:sz w:val="21"/>
          <w:szCs w:val="21"/>
        </w:rPr>
        <w:t xml:space="preserve">Solution: a restaurant-side packing checklist where staff confirm each item with a photo before handover, mirrored on the customer's tracking screen so any substitution is visible immediately — plus a one-tap "Report missing/wrong item" that pre-fills the order and photo evidence instead of starting a fresh chat.</w:t>
      </w:r>
    </w:p>
    <w:p>
      <w:pPr>
        <w:spacing w:after="40" w:before="120"/>
        <w:jc w:val="center"/>
      </w:pPr>
      <w:r>
        <w:drawing>
          <wp:inline distT="0" distB="0" distL="0" distR="0">
            <wp:extent cx="447675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3429000"/>
                    </a:xfrm>
                    <a:prstGeom prst="rect">
                      <a:avLst/>
                    </a:prstGeom>
                  </pic:spPr>
                </pic:pic>
              </a:graphicData>
            </a:graphic>
          </wp:inline>
        </w:drawing>
      </w:r>
    </w:p>
    <w:p>
      <w:pPr>
        <w:spacing w:after="260" w:before="80"/>
        <w:jc w:val="center"/>
      </w:pPr>
      <w:r>
        <w:rPr>
          <w:rFonts w:ascii="Calibri" w:cs="Calibri" w:eastAsia="Calibri" w:hAnsi="Calibri"/>
          <w:i/>
          <w:iCs/>
          <w:color w:val="5C5044"/>
          <w:sz w:val="18"/>
          <w:szCs w:val="18"/>
        </w:rPr>
        <w:t xml:space="preserve">Fig. 2 — packing checklist concept, applied to the order-tracking screen.</w:t>
      </w:r>
    </w:p>
    <w:p>
      <w:pPr>
        <w:pStyle w:val="Heading2"/>
        <w:spacing w:after="100" w:before="220"/>
      </w:pPr>
      <w:r>
        <w:rPr>
          <w:rFonts w:ascii="Georgia" w:cs="Georgia" w:eastAsia="Georgia" w:hAnsi="Georgia"/>
          <w:b/>
          <w:bCs/>
          <w:color w:val="C43F1B"/>
          <w:sz w:val="23"/>
          <w:szCs w:val="23"/>
        </w:rPr>
        <w:t xml:space="preserve">6.3  Upfront, Itemized Fee Breakdown</w:t>
      </w:r>
    </w:p>
    <w:p>
      <w:pPr>
        <w:spacing w:after="140" w:line="300"/>
      </w:pPr>
      <w:r>
        <w:rPr>
          <w:rFonts w:ascii="Calibri" w:cs="Calibri" w:eastAsia="Calibri" w:hAnsi="Calibri"/>
          <w:i w:val="false"/>
          <w:iCs w:val="false"/>
          <w:color w:val="241B15"/>
          <w:sz w:val="21"/>
          <w:szCs w:val="21"/>
        </w:rPr>
        <w:t xml:space="preserve">Problem: delivery and platform fees are reported as high and, more importantly, not fully visible until the final payment screen — creating a "surprise charge" moment that erodes trust even when the fee itself is reasonable.</w:t>
      </w:r>
    </w:p>
    <w:p>
      <w:pPr>
        <w:spacing w:after="140" w:line="300"/>
      </w:pPr>
      <w:r>
        <w:rPr>
          <w:rFonts w:ascii="Calibri" w:cs="Calibri" w:eastAsia="Calibri" w:hAnsi="Calibri"/>
          <w:i w:val="false"/>
          <w:iCs w:val="false"/>
          <w:color w:val="241B15"/>
          <w:sz w:val="21"/>
          <w:szCs w:val="21"/>
        </w:rPr>
        <w:t xml:space="preserve">Solution: every fee line gets a tappable "i" explaining what it funds, the full breakdown is shown on the cart screen rather than only at payment, and a highlighted callout explains in plain language when and why a total has changed since a previous visit (e.g., surge demand).</w:t>
      </w:r>
    </w:p>
    <w:p>
      <w:pPr>
        <w:spacing w:after="40" w:before="120"/>
        <w:jc w:val="center"/>
      </w:pPr>
      <w:r>
        <w:drawing>
          <wp:inline distT="0" distB="0" distL="0" distR="0">
            <wp:extent cx="447675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3467100"/>
                    </a:xfrm>
                    <a:prstGeom prst="rect">
                      <a:avLst/>
                    </a:prstGeom>
                  </pic:spPr>
                </pic:pic>
              </a:graphicData>
            </a:graphic>
          </wp:inline>
        </w:drawing>
      </w:r>
    </w:p>
    <w:p>
      <w:pPr>
        <w:spacing w:after="260" w:before="80"/>
        <w:jc w:val="center"/>
      </w:pPr>
      <w:r>
        <w:rPr>
          <w:rFonts w:ascii="Calibri" w:cs="Calibri" w:eastAsia="Calibri" w:hAnsi="Calibri"/>
          <w:i/>
          <w:iCs/>
          <w:color w:val="5C5044"/>
          <w:sz w:val="18"/>
          <w:szCs w:val="18"/>
        </w:rPr>
        <w:t xml:space="preserve">Fig. 3 — fee transparency concept, applied to the cart screen.</w:t>
      </w:r>
    </w:p>
    <w:p>
      <w:pPr>
        <w:pStyle w:val="Heading1"/>
        <w:pBdr>
          <w:bottom w:val="single" w:color="C43F1B" w:sz="10" w:space="4"/>
        </w:pBdr>
        <w:spacing w:after="140" w:before="320"/>
      </w:pPr>
      <w:r>
        <w:rPr>
          <w:rFonts w:ascii="Georgia" w:cs="Georgia" w:eastAsia="Georgia" w:hAnsi="Georgia"/>
          <w:b/>
          <w:bCs/>
          <w:color w:val="241B15"/>
          <w:sz w:val="30"/>
          <w:szCs w:val="30"/>
        </w:rPr>
        <w:t xml:space="preserve">7. Conclusion</w:t>
      </w:r>
    </w:p>
    <w:p>
      <w:pPr>
        <w:spacing w:after="140" w:line="300"/>
      </w:pPr>
      <w:r>
        <w:rPr>
          <w:rFonts w:ascii="Calibri" w:cs="Calibri" w:eastAsia="Calibri" w:hAnsi="Calibri"/>
          <w:i w:val="false"/>
          <w:iCs w:val="false"/>
          <w:color w:val="241B15"/>
          <w:sz w:val="21"/>
          <w:szCs w:val="21"/>
        </w:rPr>
        <w:t xml:space="preserve">Zomato's core browsing-to-order flow is well regarded — accurate menus, an easy interface, and good packaging come through consistently in user feedback. The recurring friction sits after the order is placed: when something goes wrong, users can't see what's happening, can't easily prove what they received, and are often surprised by the final cost. The three improvements above don't change Zomato's visual design or core flow — they add visibility at exactly the three moments (refunds, order accuracy, and fees) where its own users say trust currently breaks down.</w:t>
      </w:r>
    </w:p>
    <w:sectPr>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4889c7a12873f7d2d8f02bdfeaad0aa38cc2362.png"/><Relationship Id="rId8" Type="http://schemas.openxmlformats.org/officeDocument/2006/relationships/image" Target="media/ad31e34abb0a8a151b762d9ee466dbcfae6bd3b5.png"/><Relationship Id="rId9" Type="http://schemas.openxmlformats.org/officeDocument/2006/relationships/image" Target="media/82bc32de7947bf38232a172629f2dc66216ea1b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2026-08-18T06:16:40.707Z</dcterms:created>
  <dcterms:modified xsi:type="dcterms:W3CDTF">2026-08-18T06:16:40.720Z</dcterms:modified>
</cp:coreProperties>
</file>

<file path=docProps/custom.xml><?xml version="1.0" encoding="utf-8"?>
<Properties xmlns="http://schemas.openxmlformats.org/officeDocument/2006/custom-properties" xmlns:vt="http://schemas.openxmlformats.org/officeDocument/2006/docPropsVTypes"/>
</file>