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428625</wp:posOffset>
            </wp:positionH>
            <wp:positionV relativeFrom="page">
              <wp:posOffset>114300</wp:posOffset>
            </wp:positionV>
            <wp:extent cx="1376363" cy="58987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after="0" w:line="240" w:lineRule="auto"/>
              <w:ind w:left="131" w:firstLine="0"/>
              <w:rPr/>
            </w:pPr>
            <w:r w:rsidDel="00000000" w:rsidR="00000000" w:rsidRPr="00000000">
              <w:rPr>
                <w:rtl w:val="0"/>
              </w:rPr>
              <w:t xml:space="preserve">24 September 2024</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rsidR="00000000" w:rsidDel="00000000" w:rsidP="00000000" w:rsidRDefault="00000000" w:rsidRPr="00000000" w14:paraId="00000006">
            <w:pPr>
              <w:rPr/>
            </w:pPr>
            <w:r w:rsidDel="00000000" w:rsidR="00000000" w:rsidRPr="00000000">
              <w:rPr>
                <w:rtl w:val="0"/>
              </w:rPr>
              <w:t xml:space="preserve">SKILLBRIDGE-01</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tcPr>
          <w:p w:rsidR="00000000" w:rsidDel="00000000" w:rsidP="00000000" w:rsidRDefault="00000000" w:rsidRPr="00000000" w14:paraId="00000008">
            <w:pPr>
              <w:rPr/>
            </w:pPr>
            <w:r w:rsidDel="00000000" w:rsidR="00000000" w:rsidRPr="00000000">
              <w:rPr>
                <w:rtl w:val="0"/>
              </w:rPr>
              <w:t xml:space="preserve">Global Olympic Performance Analysis</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32"/>
          <w:szCs w:val="32"/>
          <w:highlight w:val="white"/>
          <w:rtl w:val="0"/>
        </w:rPr>
        <w:tab/>
      </w: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1440" w:hanging="360"/>
        <w:rPr>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1440" w:hanging="360"/>
        <w:rPr>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1440" w:hanging="360"/>
        <w:rPr>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1440" w:hanging="360"/>
        <w:rPr>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1440" w:hanging="360"/>
        <w:rPr>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440" w:hanging="360"/>
        <w:rPr>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1440" w:hanging="360"/>
        <w:rPr>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8">
      <w:pPr>
        <w:spacing w:after="200" w:line="240" w:lineRule="auto"/>
        <w:rPr>
          <w:rFonts w:ascii="Arial" w:cs="Arial" w:eastAsia="Arial" w:hAnsi="Arial"/>
          <w:sz w:val="20"/>
          <w:szCs w:val="20"/>
        </w:rPr>
      </w:pPr>
      <w:r w:rsidDel="00000000" w:rsidR="00000000" w:rsidRPr="00000000">
        <w:rPr/>
        <w:drawing>
          <wp:inline distB="114300" distT="114300" distL="114300" distR="114300">
            <wp:extent cx="5731200" cy="2857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rsidDel="00000000" w:rsidR="00000000" w:rsidRPr="00000000">
        <w:rPr>
          <w:rtl w:val="0"/>
        </w:rPr>
        <w:t xml:space="preserve">Sample:</w:t>
      </w:r>
    </w:p>
    <w:p w:rsidR="00000000" w:rsidDel="00000000" w:rsidP="00000000" w:rsidRDefault="00000000" w:rsidRPr="00000000" w14:paraId="0000001B">
      <w:pPr>
        <w:spacing w:after="200" w:line="240" w:lineRule="auto"/>
        <w:rPr/>
      </w:pPr>
      <w:r w:rsidDel="00000000" w:rsidR="00000000" w:rsidRPr="00000000">
        <w:rPr>
          <w:rtl w:val="0"/>
        </w:rPr>
        <w:t xml:space="preserve">Here are five key analytical outcomes from the Global Olympic Performance dashboards:</w:t>
      </w:r>
    </w:p>
    <w:p w:rsidR="00000000" w:rsidDel="00000000" w:rsidP="00000000" w:rsidRDefault="00000000" w:rsidRPr="00000000" w14:paraId="0000001C">
      <w:pPr>
        <w:numPr>
          <w:ilvl w:val="0"/>
          <w:numId w:val="1"/>
        </w:numPr>
        <w:spacing w:after="0" w:before="240" w:line="240" w:lineRule="auto"/>
        <w:ind w:left="720" w:hanging="360"/>
        <w:rPr/>
      </w:pPr>
      <w:r w:rsidDel="00000000" w:rsidR="00000000" w:rsidRPr="00000000">
        <w:rPr>
          <w:rtl w:val="0"/>
        </w:rPr>
        <w:t xml:space="preserve">• Global Participation Scale: The historical dataset covers comprehensive participation across hundreds of nations, tracking thousands of athletes from inception to modern Olympic games.</w:t>
      </w:r>
      <w:r w:rsidDel="00000000" w:rsidR="00000000" w:rsidRPr="00000000">
        <w:rPr>
          <w:rtl w:val="0"/>
        </w:rPr>
      </w:r>
    </w:p>
    <w:p w:rsidR="00000000" w:rsidDel="00000000" w:rsidP="00000000" w:rsidRDefault="00000000" w:rsidRPr="00000000" w14:paraId="0000001D">
      <w:pPr>
        <w:numPr>
          <w:ilvl w:val="0"/>
          <w:numId w:val="1"/>
        </w:numPr>
        <w:spacing w:after="0" w:before="0" w:line="240" w:lineRule="auto"/>
        <w:ind w:left="720" w:hanging="360"/>
        <w:rPr/>
      </w:pPr>
      <w:r w:rsidDel="00000000" w:rsidR="00000000" w:rsidRPr="00000000">
        <w:rPr>
          <w:rtl w:val="0"/>
        </w:rPr>
        <w:t xml:space="preserve">• Dominant Nations in Medal Counts: Leading countries such as the USA, Germany, France, and Russia consistently capture the highest share of total medals across Summer and Winter games.</w:t>
      </w:r>
      <w:r w:rsidDel="00000000" w:rsidR="00000000" w:rsidRPr="00000000">
        <w:rPr>
          <w:rtl w:val="0"/>
        </w:rPr>
      </w:r>
    </w:p>
    <w:p w:rsidR="00000000" w:rsidDel="00000000" w:rsidP="00000000" w:rsidRDefault="00000000" w:rsidRPr="00000000" w14:paraId="0000001E">
      <w:pPr>
        <w:numPr>
          <w:ilvl w:val="0"/>
          <w:numId w:val="1"/>
        </w:numPr>
        <w:spacing w:after="0" w:before="0" w:line="240" w:lineRule="auto"/>
        <w:ind w:left="720" w:hanging="360"/>
        <w:rPr/>
      </w:pPr>
      <w:r w:rsidDel="00000000" w:rsidR="00000000" w:rsidRPr="00000000">
        <w:rPr>
          <w:rtl w:val="0"/>
        </w:rPr>
        <w:t xml:space="preserve">• Gender Equity Evolution: Historical trend analysis reveals a remarkable growth in female athlete participation over successive decades, reflecting significant strides in Olympic inclusivity.</w:t>
      </w:r>
      <w:r w:rsidDel="00000000" w:rsidR="00000000" w:rsidRPr="00000000">
        <w:rPr>
          <w:rtl w:val="0"/>
        </w:rPr>
      </w:r>
    </w:p>
    <w:p w:rsidR="00000000" w:rsidDel="00000000" w:rsidP="00000000" w:rsidRDefault="00000000" w:rsidRPr="00000000" w14:paraId="0000001F">
      <w:pPr>
        <w:numPr>
          <w:ilvl w:val="0"/>
          <w:numId w:val="1"/>
        </w:numPr>
        <w:spacing w:after="0" w:before="0" w:line="240" w:lineRule="auto"/>
        <w:ind w:left="720" w:hanging="360"/>
        <w:rPr/>
      </w:pPr>
      <w:r w:rsidDel="00000000" w:rsidR="00000000" w:rsidRPr="00000000">
        <w:rPr>
          <w:rtl w:val="0"/>
        </w:rPr>
        <w:t xml:space="preserve">• Peak Age Demographics: Athlete age distribution analysis shows peak participation concentrated heavily in the 20 to 30 age bracket across major athletic disciplines.</w:t>
      </w:r>
      <w:r w:rsidDel="00000000" w:rsidR="00000000" w:rsidRPr="00000000">
        <w:rPr>
          <w:rtl w:val="0"/>
        </w:rPr>
      </w:r>
    </w:p>
    <w:p w:rsidR="00000000" w:rsidDel="00000000" w:rsidP="00000000" w:rsidRDefault="00000000" w:rsidRPr="00000000" w14:paraId="00000020">
      <w:pPr>
        <w:numPr>
          <w:ilvl w:val="0"/>
          <w:numId w:val="1"/>
        </w:numPr>
        <w:spacing w:after="240" w:before="0" w:line="240" w:lineRule="auto"/>
        <w:ind w:left="720" w:hanging="360"/>
        <w:rPr/>
      </w:pPr>
      <w:r w:rsidDel="00000000" w:rsidR="00000000" w:rsidRPr="00000000">
        <w:rPr>
          <w:rtl w:val="0"/>
        </w:rPr>
        <w:t xml:space="preserve">• Top Sports by Engagement: Athletics, Aquatics (Swimming), and Gymnastics represent the sports with the highest athlete participation and fan engagement globally.</w:t>
      </w:r>
      <w:r w:rsidDel="00000000" w:rsidR="00000000" w:rsidRPr="00000000">
        <w:rPr>
          <w:rtl w:val="0"/>
        </w:rPr>
      </w:r>
    </w:p>
    <w:p w:rsidR="00000000" w:rsidDel="00000000" w:rsidP="00000000" w:rsidRDefault="00000000" w:rsidRPr="00000000" w14:paraId="00000021">
      <w:pPr>
        <w:spacing w:after="240" w:before="240" w:line="240" w:lineRule="auto"/>
        <w:rPr/>
      </w:pPr>
      <w:r w:rsidDel="00000000" w:rsidR="00000000" w:rsidRPr="00000000">
        <w:rPr>
          <w:rtl w:val="0"/>
        </w:rPr>
      </w:r>
    </w:p>
    <w:p w:rsidR="00000000" w:rsidDel="00000000" w:rsidP="00000000" w:rsidRDefault="00000000" w:rsidRPr="00000000" w14:paraId="00000022">
      <w:pPr>
        <w:spacing w:after="240" w:before="240" w:line="240" w:lineRule="auto"/>
        <w:rPr/>
      </w:pPr>
      <w:r w:rsidDel="00000000" w:rsidR="00000000" w:rsidRPr="00000000">
        <w:rPr>
          <w:rtl w:val="0"/>
        </w:rPr>
      </w:r>
    </w:p>
    <w:p w:rsidR="00000000" w:rsidDel="00000000" w:rsidP="00000000" w:rsidRDefault="00000000" w:rsidRPr="00000000" w14:paraId="00000023">
      <w:pPr>
        <w:spacing w:after="200" w:line="240" w:lineRule="auto"/>
        <w:rPr>
          <w:b w:val="1"/>
          <w:bCs w:val="1"/>
          <w:sz w:val="28"/>
          <w:szCs w:val="28"/>
        </w:rPr>
      </w:pPr>
      <w:r w:rsidDel="00000000" w:rsidR="00000000" w:rsidRPr="00000000">
        <w:rPr>
          <w:b w:val="1"/>
          <w:bCs w:val="1"/>
          <w:sz w:val="28"/>
          <w:szCs w:val="28"/>
          <w:rtl w:val="0"/>
        </w:rPr>
        <w:t xml:space="preserve">Activity 2</w:t>
      </w:r>
    </w:p>
    <w:p w:rsidR="00000000" w:rsidDel="00000000" w:rsidP="00000000" w:rsidRDefault="00000000" w:rsidRPr="00000000" w14:paraId="00000024">
      <w:pPr>
        <w:spacing w:after="200" w:line="240" w:lineRule="auto"/>
        <w:rPr>
          <w:sz w:val="28"/>
          <w:szCs w:val="28"/>
        </w:rPr>
      </w:pPr>
      <w:r w:rsidDel="00000000" w:rsidR="00000000" w:rsidRPr="00000000">
        <w:rPr>
          <w:sz w:val="28"/>
          <w:szCs w:val="28"/>
          <w:rtl w:val="0"/>
        </w:rPr>
        <w:t xml:space="preserve">Publish Dashboard on Tableau Public and Paste the Dashboard Public link below:</w:t>
      </w:r>
    </w:p>
    <w:p w:rsidR="00000000" w:rsidDel="00000000" w:rsidP="00000000" w:rsidRDefault="00000000" w:rsidRPr="00000000" w14:paraId="00000025">
      <w:pPr>
        <w:spacing w:after="200" w:line="240" w:lineRule="auto"/>
        <w:rPr>
          <w:sz w:val="28"/>
          <w:szCs w:val="28"/>
        </w:rPr>
      </w:pPr>
      <w:r w:rsidDel="00000000" w:rsidR="00000000" w:rsidRPr="00000000">
        <w:rPr>
          <w:sz w:val="28"/>
          <w:szCs w:val="28"/>
          <w:rtl w:val="0"/>
        </w:rPr>
        <w:t xml:space="preserve">Example</w:t>
      </w:r>
    </w:p>
    <w:p w:rsidR="00000000" w:rsidDel="00000000" w:rsidP="00000000" w:rsidRDefault="00000000" w:rsidRPr="00000000" w14:paraId="00000026">
      <w:pPr>
        <w:spacing w:after="200" w:line="240" w:lineRule="auto"/>
        <w:rPr>
          <w:sz w:val="28"/>
          <w:szCs w:val="28"/>
        </w:rPr>
      </w:pPr>
      <w:r w:rsidDel="00000000" w:rsidR="00000000" w:rsidRPr="00000000">
        <w:rPr>
          <w:rtl w:val="0"/>
        </w:rPr>
        <w:t xml:space="preserve">https://public.tableau.com/app/profile/global.olympic.performance.analysis/viz/GlobalOlympicPerformanceAnalysis/Story1</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