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SKILLBRIDGE-01</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Global Olympic Performance Analysis</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-752473</wp:posOffset>
                </wp:positionH>
                <wp:positionV relativeFrom="paragraph">
                  <wp:posOffset>178443</wp:posOffset>
                </wp:positionV>
                <wp:extent cx="3594100" cy="361950"/>
                <wp:effectExtent b="0" l="0" r="0" t="0"/>
                <wp:wrapNone/>
                <wp:docPr id="1" name=""/>
                <a:graphic>
                  <a:graphicData uri="http://schemas.microsoft.com/office/word/2010/wordprocessingShape">
                    <wps:wsp>
                      <wps:cNvSpPr/>
                      <wps:cNvPr id="2" name="Shape 2"/>
                      <wps:spPr>
                        <a:xfrm>
                          <a:off x="0" y="0"/>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-752473</wp:posOffset>
                </wp:positionH>
                <wp:positionV relativeFrom="paragraph">
                  <wp:posOffset>178443</wp:posOffset>
                </wp:positionV>
                <wp:extent cx="3594100" cy="361950"/>
                <wp:effectExtent b="0" l="0" r="0" t="0"/>
                <wp:wrapNone/>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594100" cy="36195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4694237</wp:posOffset>
                </wp:positionH>
                <wp:positionV relativeFrom="paragraph">
                  <wp:posOffset>211138</wp:posOffset>
                </wp:positionV>
                <wp:extent cx="25400" cy="2819400"/>
                <wp:effectExtent b="0" l="0" r="0" t="0"/>
                <wp:wrapNone/>
                <wp:docPr id="2" name=""/>
                <a:graphic>
                  <a:graphicData uri="http://schemas.microsoft.com/office/word/2010/wordprocessingShape">
                    <wps:wsp>
                      <wps:cNvCnPr/>
                      <wps:spPr>
                        <a:xfrm>
                          <a:off x="0" y="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4694237</wp:posOffset>
                </wp:positionH>
                <wp:positionV relativeFrom="paragraph">
                  <wp:posOffset>211138</wp:posOffset>
                </wp:positionV>
                <wp:extent cx="25400" cy="2819400"/>
                <wp:effectExtent b="0" l="0" r="0" t="0"/>
                <wp:wrapNone/>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5400" cy="2819400"/>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36">
            <w:pPr>
              <w:rPr/>
            </w:pPr>
            <w:r w:rsidDel="00000000" w:rsidR="00000000" w:rsidRPr="00000000">
              <w:rPr>
                <w:rtl w:val="0"/>
              </w:rPr>
              <w:t xml:space="preserve">Analyst / User</w:t>
            </w:r>
          </w:p>
        </w:tc>
        <w:tc>
          <w:tcPr/>
          <w:p w:rsidR="00000000" w:rsidDel="00000000" w:rsidP="00000000" w:rsidRDefault="00000000" w:rsidRPr="00000000" w14:paraId="00000037">
            <w:pPr>
              <w:rPr/>
            </w:pPr>
            <w:r w:rsidDel="00000000" w:rsidR="00000000" w:rsidRPr="00000000">
              <w:rPr>
                <w:rtl w:val="0"/>
              </w:rPr>
              <w:t xml:space="preserve">Data Ingestion</w:t>
            </w:r>
          </w:p>
        </w:tc>
        <w:tc>
          <w:tcPr/>
          <w:p w:rsidR="00000000" w:rsidDel="00000000" w:rsidP="00000000" w:rsidRDefault="00000000" w:rsidRPr="00000000" w14:paraId="00000038">
            <w:pPr>
              <w:rPr/>
            </w:pPr>
            <w:r w:rsidDel="00000000" w:rsidR="00000000" w:rsidRPr="00000000">
              <w:rPr>
                <w:rtl w:val="0"/>
              </w:rPr>
              <w:t xml:space="preserve">USN-1</w:t>
            </w:r>
          </w:p>
        </w:tc>
        <w:tc>
          <w:tcPr/>
          <w:p w:rsidR="00000000" w:rsidDel="00000000" w:rsidP="00000000" w:rsidRDefault="00000000" w:rsidRPr="00000000" w14:paraId="00000039">
            <w:pPr>
              <w:rPr/>
            </w:pPr>
            <w:r w:rsidDel="00000000" w:rsidR="00000000" w:rsidRPr="00000000">
              <w:rPr>
                <w:rtl w:val="0"/>
              </w:rPr>
              <w:t xml:space="preserve">As an analyst, I can ingest and load raw historical Olympic datasets (athlete_events.csv and noc_regions.csv) into the analytical environment.</w:t>
            </w:r>
          </w:p>
        </w:tc>
        <w:tc>
          <w:tcPr/>
          <w:p w:rsidR="00000000" w:rsidDel="00000000" w:rsidP="00000000" w:rsidRDefault="00000000" w:rsidRPr="00000000" w14:paraId="0000003A">
            <w:pPr>
              <w:rPr/>
            </w:pPr>
            <w:r w:rsidDel="00000000" w:rsidR="00000000" w:rsidRPr="00000000">
              <w:rPr>
                <w:rtl w:val="0"/>
              </w:rPr>
              <w:t xml:space="preserve">Datasets successfully loaded without missing headers or corruption.</w:t>
            </w:r>
          </w:p>
        </w:tc>
        <w:tc>
          <w:tcPr/>
          <w:p w:rsidR="00000000" w:rsidDel="00000000" w:rsidP="00000000" w:rsidRDefault="00000000" w:rsidRPr="00000000" w14:paraId="0000003B">
            <w:pPr>
              <w:rPr/>
            </w:pPr>
            <w:r w:rsidDel="00000000" w:rsidR="00000000" w:rsidRPr="00000000">
              <w:rPr>
                <w:rtl w:val="0"/>
              </w:rPr>
              <w:t xml:space="preserve">High</w:t>
            </w:r>
          </w:p>
        </w:tc>
        <w:tc>
          <w:tcPr/>
          <w:p w:rsidR="00000000" w:rsidDel="00000000" w:rsidP="00000000" w:rsidRDefault="00000000" w:rsidRPr="00000000" w14:paraId="0000003C">
            <w:pPr>
              <w:rPr/>
            </w:pPr>
            <w:r w:rsidDel="00000000" w:rsidR="00000000" w:rsidRPr="00000000">
              <w:rPr>
                <w:rtl w:val="0"/>
              </w:rPr>
              <w:t xml:space="preserve">Sprint-1</w:t>
            </w:r>
          </w:p>
        </w:tc>
      </w:tr>
      <w:tr>
        <w:trPr>
          <w:cantSplit w:val="0"/>
          <w:trHeight w:val="404" w:hRule="atLeast"/>
          <w:tblHeader w:val="0"/>
        </w:trPr>
        <w:tc>
          <w:tcPr/>
          <w:p w:rsidR="00000000" w:rsidDel="00000000" w:rsidP="00000000" w:rsidRDefault="00000000" w:rsidRPr="00000000" w14:paraId="0000003D">
            <w:pPr>
              <w:rPr/>
            </w:pPr>
            <w:r w:rsidDel="00000000" w:rsidR="00000000" w:rsidRPr="00000000">
              <w:rPr>
                <w:rtl w:val="0"/>
              </w:rPr>
              <w:t xml:space="preserve">Analyst / User</w:t>
            </w:r>
          </w:p>
        </w:tc>
        <w:tc>
          <w:tcPr/>
          <w:p w:rsidR="00000000" w:rsidDel="00000000" w:rsidP="00000000" w:rsidRDefault="00000000" w:rsidRPr="00000000" w14:paraId="0000003E">
            <w:pPr>
              <w:rPr/>
            </w:pPr>
            <w:r w:rsidDel="00000000" w:rsidR="00000000" w:rsidRPr="00000000">
              <w:rPr>
                <w:rtl w:val="0"/>
              </w:rPr>
              <w:t xml:space="preserve">Data Processing</w:t>
            </w:r>
          </w:p>
        </w:tc>
        <w:tc>
          <w:tcPr/>
          <w:p w:rsidR="00000000" w:rsidDel="00000000" w:rsidP="00000000" w:rsidRDefault="00000000" w:rsidRPr="00000000" w14:paraId="0000003F">
            <w:pPr>
              <w:rPr/>
            </w:pPr>
            <w:r w:rsidDel="00000000" w:rsidR="00000000" w:rsidRPr="00000000">
              <w:rPr>
                <w:rtl w:val="0"/>
              </w:rPr>
              <w:t xml:space="preserve">USN-2</w:t>
            </w:r>
          </w:p>
        </w:tc>
        <w:tc>
          <w:tcPr/>
          <w:p w:rsidR="00000000" w:rsidDel="00000000" w:rsidP="00000000" w:rsidRDefault="00000000" w:rsidRPr="00000000" w14:paraId="00000040">
            <w:pPr>
              <w:rPr/>
            </w:pPr>
            <w:r w:rsidDel="00000000" w:rsidR="00000000" w:rsidRPr="00000000">
              <w:rPr>
                <w:rtl w:val="0"/>
              </w:rPr>
              <w:t xml:space="preserve">As an analyst, I can clean records, handle missing age/medal values, and join NOC regions using Python and Pandas.</w:t>
            </w:r>
          </w:p>
        </w:tc>
        <w:tc>
          <w:tcPr/>
          <w:p w:rsidR="00000000" w:rsidDel="00000000" w:rsidP="00000000" w:rsidRDefault="00000000" w:rsidRPr="00000000" w14:paraId="00000041">
            <w:pPr>
              <w:rPr/>
            </w:pPr>
            <w:r w:rsidDel="00000000" w:rsidR="00000000" w:rsidRPr="00000000">
              <w:rPr>
                <w:rtl w:val="0"/>
              </w:rPr>
              <w:t xml:space="preserve">Cleaned dataframe ready with correct relational country mapping.</w:t>
            </w:r>
          </w:p>
        </w:tc>
        <w:tc>
          <w:tcPr/>
          <w:p w:rsidR="00000000" w:rsidDel="00000000" w:rsidP="00000000" w:rsidRDefault="00000000" w:rsidRPr="00000000" w14:paraId="00000042">
            <w:pPr>
              <w:rPr/>
            </w:pPr>
            <w:r w:rsidDel="00000000" w:rsidR="00000000" w:rsidRPr="00000000">
              <w:rPr>
                <w:rtl w:val="0"/>
              </w:rPr>
              <w:t xml:space="preserve">High</w:t>
            </w:r>
          </w:p>
        </w:tc>
        <w:tc>
          <w:tcPr/>
          <w:p w:rsidR="00000000" w:rsidDel="00000000" w:rsidP="00000000" w:rsidRDefault="00000000" w:rsidRPr="00000000" w14:paraId="00000043">
            <w:pPr>
              <w:rPr/>
            </w:pPr>
            <w:r w:rsidDel="00000000" w:rsidR="00000000" w:rsidRPr="00000000">
              <w:rPr>
                <w:rtl w:val="0"/>
              </w:rPr>
              <w:t xml:space="preserve">Sprint-1</w:t>
            </w:r>
          </w:p>
        </w:tc>
      </w:tr>
      <w:tr>
        <w:trPr>
          <w:cantSplit w:val="0"/>
          <w:trHeight w:val="404" w:hRule="atLeast"/>
          <w:tblHeader w:val="0"/>
        </w:trPr>
        <w:tc>
          <w:tcPr/>
          <w:p w:rsidR="00000000" w:rsidDel="00000000" w:rsidP="00000000" w:rsidRDefault="00000000" w:rsidRPr="00000000" w14:paraId="00000044">
            <w:pPr>
              <w:rPr/>
            </w:pPr>
            <w:r w:rsidDel="00000000" w:rsidR="00000000" w:rsidRPr="00000000">
              <w:rPr>
                <w:rtl w:val="0"/>
              </w:rPr>
              <w:t xml:space="preserve">Business User</w:t>
            </w:r>
          </w:p>
        </w:tc>
        <w:tc>
          <w:tcPr/>
          <w:p w:rsidR="00000000" w:rsidDel="00000000" w:rsidP="00000000" w:rsidRDefault="00000000" w:rsidRPr="00000000" w14:paraId="00000045">
            <w:pPr>
              <w:rPr/>
            </w:pPr>
            <w:r w:rsidDel="00000000" w:rsidR="00000000" w:rsidRPr="00000000">
              <w:rPr>
                <w:rtl w:val="0"/>
              </w:rPr>
              <w:t xml:space="preserve">Global Metrics &amp; Participation</w:t>
            </w:r>
          </w:p>
        </w:tc>
        <w:tc>
          <w:tcPr/>
          <w:p w:rsidR="00000000" w:rsidDel="00000000" w:rsidP="00000000" w:rsidRDefault="00000000" w:rsidRPr="00000000" w14:paraId="00000046">
            <w:pPr>
              <w:rPr/>
            </w:pPr>
            <w:r w:rsidDel="00000000" w:rsidR="00000000" w:rsidRPr="00000000">
              <w:rPr>
                <w:rtl w:val="0"/>
              </w:rPr>
              <w:t xml:space="preserve">USN-3</w:t>
            </w:r>
          </w:p>
        </w:tc>
        <w:tc>
          <w:tcPr/>
          <w:p w:rsidR="00000000" w:rsidDel="00000000" w:rsidP="00000000" w:rsidRDefault="00000000" w:rsidRPr="00000000" w14:paraId="00000047">
            <w:pPr>
              <w:rPr/>
            </w:pPr>
            <w:r w:rsidDel="00000000" w:rsidR="00000000" w:rsidRPr="00000000">
              <w:rPr>
                <w:rtl w:val="0"/>
              </w:rPr>
              <w:t xml:space="preserve">As a user, I can view Country-wise Participation and Medal Distribution charts in Tableau.</w:t>
            </w:r>
          </w:p>
        </w:tc>
        <w:tc>
          <w:tcPr/>
          <w:p w:rsidR="00000000" w:rsidDel="00000000" w:rsidP="00000000" w:rsidRDefault="00000000" w:rsidRPr="00000000" w14:paraId="00000048">
            <w:pPr>
              <w:rPr/>
            </w:pPr>
            <w:r w:rsidDel="00000000" w:rsidR="00000000" w:rsidRPr="00000000">
              <w:rPr>
                <w:rtl w:val="0"/>
              </w:rPr>
              <w:t xml:space="preserve">Visuals render participation counts and medal breakdowns accurately.</w:t>
            </w:r>
          </w:p>
        </w:tc>
        <w:tc>
          <w:tcPr/>
          <w:p w:rsidR="00000000" w:rsidDel="00000000" w:rsidP="00000000" w:rsidRDefault="00000000" w:rsidRPr="00000000" w14:paraId="00000049">
            <w:pPr>
              <w:rPr/>
            </w:pPr>
            <w:r w:rsidDel="00000000" w:rsidR="00000000" w:rsidRPr="00000000">
              <w:rPr>
                <w:rtl w:val="0"/>
              </w:rPr>
              <w:t xml:space="preserve">High</w:t>
            </w:r>
          </w:p>
        </w:tc>
        <w:tc>
          <w:tcPr/>
          <w:p w:rsidR="00000000" w:rsidDel="00000000" w:rsidP="00000000" w:rsidRDefault="00000000" w:rsidRPr="00000000" w14:paraId="0000004A">
            <w:pPr>
              <w:rPr/>
            </w:pPr>
            <w:r w:rsidDel="00000000" w:rsidR="00000000" w:rsidRPr="00000000">
              <w:rPr>
                <w:rtl w:val="0"/>
              </w:rPr>
              <w:t xml:space="preserve">Sprint-1</w:t>
            </w:r>
          </w:p>
        </w:tc>
      </w:tr>
      <w:tr>
        <w:trPr>
          <w:cantSplit w:val="0"/>
          <w:trHeight w:val="404" w:hRule="atLeast"/>
          <w:tblHeader w:val="0"/>
        </w:trPr>
        <w:tc>
          <w:tcPr/>
          <w:p w:rsidR="00000000" w:rsidDel="00000000" w:rsidP="00000000" w:rsidRDefault="00000000" w:rsidRPr="00000000" w14:paraId="0000004B">
            <w:pPr>
              <w:rPr/>
            </w:pPr>
            <w:r w:rsidDel="00000000" w:rsidR="00000000" w:rsidRPr="00000000">
              <w:rPr>
                <w:rtl w:val="0"/>
              </w:rPr>
              <w:t xml:space="preserve">Business User</w:t>
            </w:r>
          </w:p>
        </w:tc>
        <w:tc>
          <w:tcPr/>
          <w:p w:rsidR="00000000" w:rsidDel="00000000" w:rsidP="00000000" w:rsidRDefault="00000000" w:rsidRPr="00000000" w14:paraId="0000004C">
            <w:pPr>
              <w:rPr/>
            </w:pPr>
            <w:r w:rsidDel="00000000" w:rsidR="00000000" w:rsidRPr="00000000">
              <w:rPr>
                <w:rtl w:val="0"/>
              </w:rPr>
              <w:t xml:space="preserve">Historical &amp; Seasonal Trends</w:t>
            </w:r>
          </w:p>
        </w:tc>
        <w:tc>
          <w:tcPr/>
          <w:p w:rsidR="00000000" w:rsidDel="00000000" w:rsidP="00000000" w:rsidRDefault="00000000" w:rsidRPr="00000000" w14:paraId="0000004D">
            <w:pPr>
              <w:rPr/>
            </w:pPr>
            <w:r w:rsidDel="00000000" w:rsidR="00000000" w:rsidRPr="00000000">
              <w:rPr>
                <w:rtl w:val="0"/>
              </w:rPr>
              <w:t xml:space="preserve">USN-4</w:t>
            </w:r>
          </w:p>
        </w:tc>
        <w:tc>
          <w:tcPr/>
          <w:p w:rsidR="00000000" w:rsidDel="00000000" w:rsidP="00000000" w:rsidRDefault="00000000" w:rsidRPr="00000000" w14:paraId="0000004E">
            <w:pPr>
              <w:rPr/>
            </w:pPr>
            <w:r w:rsidDel="00000000" w:rsidR="00000000" w:rsidRPr="00000000">
              <w:rPr>
                <w:rtl w:val="0"/>
              </w:rPr>
              <w:t xml:space="preserve">As a user, I can explore Historical Trends and Summer vs. Winter comparison visuals.</w:t>
            </w:r>
          </w:p>
        </w:tc>
        <w:tc>
          <w:tcPr/>
          <w:p w:rsidR="00000000" w:rsidDel="00000000" w:rsidP="00000000" w:rsidRDefault="00000000" w:rsidRPr="00000000" w14:paraId="0000004F">
            <w:pPr>
              <w:rPr/>
            </w:pPr>
            <w:r w:rsidDel="00000000" w:rsidR="00000000" w:rsidRPr="00000000">
              <w:rPr>
                <w:rtl w:val="0"/>
              </w:rPr>
              <w:t xml:space="preserve">Charts correctly depict multi-decade trends and seasonal differences.</w:t>
            </w:r>
          </w:p>
        </w:tc>
        <w:tc>
          <w:tcPr/>
          <w:p w:rsidR="00000000" w:rsidDel="00000000" w:rsidP="00000000" w:rsidRDefault="00000000" w:rsidRPr="00000000" w14:paraId="00000050">
            <w:pPr>
              <w:rPr/>
            </w:pPr>
            <w:r w:rsidDel="00000000" w:rsidR="00000000" w:rsidRPr="00000000">
              <w:rPr>
                <w:rtl w:val="0"/>
              </w:rPr>
              <w:t xml:space="preserve">High</w:t>
            </w:r>
          </w:p>
        </w:tc>
        <w:tc>
          <w:tcPr/>
          <w:p w:rsidR="00000000" w:rsidDel="00000000" w:rsidP="00000000" w:rsidRDefault="00000000" w:rsidRPr="00000000" w14:paraId="00000051">
            <w:pPr>
              <w:rPr/>
            </w:pPr>
            <w:r w:rsidDel="00000000" w:rsidR="00000000" w:rsidRPr="00000000">
              <w:rPr>
                <w:rtl w:val="0"/>
              </w:rPr>
              <w:t xml:space="preserve">Sprint-1</w:t>
            </w:r>
          </w:p>
        </w:tc>
      </w:tr>
      <w:tr>
        <w:trPr>
          <w:cantSplit w:val="0"/>
          <w:trHeight w:val="404" w:hRule="atLeast"/>
          <w:tblHeader w:val="0"/>
        </w:trPr>
        <w:tc>
          <w:tcPr/>
          <w:p w:rsidR="00000000" w:rsidDel="00000000" w:rsidP="00000000" w:rsidRDefault="00000000" w:rsidRPr="00000000" w14:paraId="00000052">
            <w:pPr>
              <w:rPr/>
            </w:pPr>
            <w:r w:rsidDel="00000000" w:rsidR="00000000" w:rsidRPr="00000000">
              <w:rPr>
                <w:rtl w:val="0"/>
              </w:rPr>
              <w:t xml:space="preserve">Business User</w:t>
            </w:r>
          </w:p>
        </w:tc>
        <w:tc>
          <w:tcPr/>
          <w:p w:rsidR="00000000" w:rsidDel="00000000" w:rsidP="00000000" w:rsidRDefault="00000000" w:rsidRPr="00000000" w14:paraId="00000053">
            <w:pPr>
              <w:rPr/>
            </w:pPr>
            <w:r w:rsidDel="00000000" w:rsidR="00000000" w:rsidRPr="00000000">
              <w:rPr>
                <w:rtl w:val="0"/>
              </w:rPr>
              <w:t xml:space="preserve">Demographic Analysis</w:t>
            </w:r>
          </w:p>
        </w:tc>
        <w:tc>
          <w:tcPr/>
          <w:p w:rsidR="00000000" w:rsidDel="00000000" w:rsidP="00000000" w:rsidRDefault="00000000" w:rsidRPr="00000000" w14:paraId="00000054">
            <w:pPr>
              <w:rPr/>
            </w:pPr>
            <w:r w:rsidDel="00000000" w:rsidR="00000000" w:rsidRPr="00000000">
              <w:rPr>
                <w:rtl w:val="0"/>
              </w:rPr>
              <w:t xml:space="preserve">USN-5</w:t>
            </w:r>
          </w:p>
        </w:tc>
        <w:tc>
          <w:tcPr/>
          <w:p w:rsidR="00000000" w:rsidDel="00000000" w:rsidP="00000000" w:rsidRDefault="00000000" w:rsidRPr="00000000" w14:paraId="00000055">
            <w:pPr>
              <w:rPr/>
            </w:pPr>
            <w:r w:rsidDel="00000000" w:rsidR="00000000" w:rsidRPr="00000000">
              <w:rPr>
                <w:rtl w:val="0"/>
              </w:rPr>
              <w:t xml:space="preserve">As a user, I can analyze Gender Participation Trends and Athlete Age Distribution histograms.</w:t>
            </w:r>
          </w:p>
        </w:tc>
        <w:tc>
          <w:tcPr/>
          <w:p w:rsidR="00000000" w:rsidDel="00000000" w:rsidP="00000000" w:rsidRDefault="00000000" w:rsidRPr="00000000" w14:paraId="00000056">
            <w:pPr>
              <w:rPr/>
            </w:pPr>
            <w:r w:rsidDel="00000000" w:rsidR="00000000" w:rsidRPr="00000000">
              <w:rPr>
                <w:rtl w:val="0"/>
              </w:rPr>
              <w:t xml:space="preserve">Demographic distributions and trends display correctly.</w:t>
            </w:r>
          </w:p>
        </w:tc>
        <w:tc>
          <w:tcPr/>
          <w:p w:rsidR="00000000" w:rsidDel="00000000" w:rsidP="00000000" w:rsidRDefault="00000000" w:rsidRPr="00000000" w14:paraId="00000057">
            <w:pPr>
              <w:rPr/>
            </w:pPr>
            <w:r w:rsidDel="00000000" w:rsidR="00000000" w:rsidRPr="00000000">
              <w:rPr>
                <w:rtl w:val="0"/>
              </w:rPr>
              <w:t xml:space="preserve">High</w:t>
            </w:r>
          </w:p>
        </w:tc>
        <w:tc>
          <w:tcPr/>
          <w:p w:rsidR="00000000" w:rsidDel="00000000" w:rsidP="00000000" w:rsidRDefault="00000000" w:rsidRPr="00000000" w14:paraId="00000058">
            <w:pPr>
              <w:rPr/>
            </w:pPr>
            <w:r w:rsidDel="00000000" w:rsidR="00000000" w:rsidRPr="00000000">
              <w:rPr>
                <w:rtl w:val="0"/>
              </w:rPr>
              <w:t xml:space="preserve">Sprint-2</w:t>
            </w:r>
          </w:p>
        </w:tc>
      </w:tr>
      <w:tr>
        <w:trPr>
          <w:cantSplit w:val="0"/>
          <w:trHeight w:val="404" w:hRule="atLeast"/>
          <w:tblHeader w:val="0"/>
        </w:trPr>
        <w:tc>
          <w:tcPr/>
          <w:p w:rsidR="00000000" w:rsidDel="00000000" w:rsidP="00000000" w:rsidRDefault="00000000" w:rsidRPr="00000000" w14:paraId="00000059">
            <w:pPr>
              <w:rPr/>
            </w:pPr>
            <w:r w:rsidDel="00000000" w:rsidR="00000000" w:rsidRPr="00000000">
              <w:rPr>
                <w:rtl w:val="0"/>
              </w:rPr>
              <w:t xml:space="preserve">Business User</w:t>
            </w:r>
          </w:p>
        </w:tc>
        <w:tc>
          <w:tcPr/>
          <w:p w:rsidR="00000000" w:rsidDel="00000000" w:rsidP="00000000" w:rsidRDefault="00000000" w:rsidRPr="00000000" w14:paraId="0000005A">
            <w:pPr>
              <w:rPr/>
            </w:pPr>
            <w:r w:rsidDel="00000000" w:rsidR="00000000" w:rsidRPr="00000000">
              <w:rPr>
                <w:rtl w:val="0"/>
              </w:rPr>
              <w:t xml:space="preserve">Performance Analysis</w:t>
            </w:r>
          </w:p>
        </w:tc>
        <w:tc>
          <w:tcPr/>
          <w:p w:rsidR="00000000" w:rsidDel="00000000" w:rsidP="00000000" w:rsidRDefault="00000000" w:rsidRPr="00000000" w14:paraId="0000005B">
            <w:pPr>
              <w:rPr/>
            </w:pPr>
            <w:r w:rsidDel="00000000" w:rsidR="00000000" w:rsidRPr="00000000">
              <w:rPr>
                <w:rtl w:val="0"/>
              </w:rPr>
              <w:t xml:space="preserve">USN-6</w:t>
            </w:r>
          </w:p>
        </w:tc>
        <w:tc>
          <w:tcPr/>
          <w:p w:rsidR="00000000" w:rsidDel="00000000" w:rsidP="00000000" w:rsidRDefault="00000000" w:rsidRPr="00000000" w14:paraId="0000005C">
            <w:pPr>
              <w:rPr/>
            </w:pPr>
            <w:r w:rsidDel="00000000" w:rsidR="00000000" w:rsidRPr="00000000">
              <w:rPr>
                <w:rtl w:val="0"/>
              </w:rPr>
              <w:t xml:space="preserve">As a user, I can evaluate Top Sports by Participation and Top Host Cities.</w:t>
            </w:r>
          </w:p>
        </w:tc>
        <w:tc>
          <w:tcPr/>
          <w:p w:rsidR="00000000" w:rsidDel="00000000" w:rsidP="00000000" w:rsidRDefault="00000000" w:rsidRPr="00000000" w14:paraId="0000005D">
            <w:pPr>
              <w:rPr/>
            </w:pPr>
            <w:r w:rsidDel="00000000" w:rsidR="00000000" w:rsidRPr="00000000">
              <w:rPr>
                <w:rtl w:val="0"/>
              </w:rPr>
              <w:t xml:space="preserve">Top sports and host cities are ranked and visualized clearly.</w:t>
            </w:r>
          </w:p>
        </w:tc>
        <w:tc>
          <w:tcPr/>
          <w:p w:rsidR="00000000" w:rsidDel="00000000" w:rsidP="00000000" w:rsidRDefault="00000000" w:rsidRPr="00000000" w14:paraId="0000005E">
            <w:pPr>
              <w:rPr/>
            </w:pPr>
            <w:r w:rsidDel="00000000" w:rsidR="00000000" w:rsidRPr="00000000">
              <w:rPr>
                <w:rtl w:val="0"/>
              </w:rPr>
              <w:t xml:space="preserve">High</w:t>
            </w:r>
          </w:p>
        </w:tc>
        <w:tc>
          <w:tcPr/>
          <w:p w:rsidR="00000000" w:rsidDel="00000000" w:rsidP="00000000" w:rsidRDefault="00000000" w:rsidRPr="00000000" w14:paraId="0000005F">
            <w:pPr>
              <w:rPr/>
            </w:pPr>
            <w:r w:rsidDel="00000000" w:rsidR="00000000" w:rsidRPr="00000000">
              <w:rPr>
                <w:rtl w:val="0"/>
              </w:rPr>
              <w:t xml:space="preserve">Sprint-2</w:t>
            </w:r>
          </w:p>
        </w:tc>
      </w:tr>
      <w:tr>
        <w:trPr>
          <w:cantSplit w:val="0"/>
          <w:trHeight w:val="404" w:hRule="atLeast"/>
          <w:tblHeader w:val="0"/>
        </w:trPr>
        <w:tc>
          <w:tcPr/>
          <w:p w:rsidR="00000000" w:rsidDel="00000000" w:rsidP="00000000" w:rsidRDefault="00000000" w:rsidRPr="00000000" w14:paraId="00000060">
            <w:pPr>
              <w:rPr/>
            </w:pPr>
            <w:r w:rsidDel="00000000" w:rsidR="00000000" w:rsidRPr="00000000">
              <w:rPr>
                <w:rtl w:val="0"/>
              </w:rPr>
              <w:t xml:space="preserve">Evaluator / Stakeholder</w:t>
            </w:r>
          </w:p>
        </w:tc>
        <w:tc>
          <w:tcPr/>
          <w:p w:rsidR="00000000" w:rsidDel="00000000" w:rsidP="00000000" w:rsidRDefault="00000000" w:rsidRPr="00000000" w14:paraId="00000061">
            <w:pPr>
              <w:rPr/>
            </w:pPr>
            <w:r w:rsidDel="00000000" w:rsidR="00000000" w:rsidRPr="00000000">
              <w:rPr>
                <w:rtl w:val="0"/>
              </w:rPr>
              <w:t xml:space="preserve">Executive Dashboard &amp; Story</w:t>
            </w:r>
          </w:p>
        </w:tc>
        <w:tc>
          <w:tcPr/>
          <w:p w:rsidR="00000000" w:rsidDel="00000000" w:rsidP="00000000" w:rsidRDefault="00000000" w:rsidRPr="00000000" w14:paraId="00000062">
            <w:pPr>
              <w:rPr/>
            </w:pPr>
            <w:r w:rsidDel="00000000" w:rsidR="00000000" w:rsidRPr="00000000">
              <w:rPr>
                <w:rtl w:val="0"/>
              </w:rPr>
              <w:t xml:space="preserve">USN-7</w:t>
            </w:r>
          </w:p>
        </w:tc>
        <w:tc>
          <w:tcPr/>
          <w:p w:rsidR="00000000" w:rsidDel="00000000" w:rsidP="00000000" w:rsidRDefault="00000000" w:rsidRPr="00000000" w14:paraId="00000063">
            <w:pPr>
              <w:rPr/>
            </w:pPr>
            <w:r w:rsidDel="00000000" w:rsidR="00000000" w:rsidRPr="00000000">
              <w:rPr>
                <w:rtl w:val="0"/>
              </w:rPr>
              <w:t xml:space="preserve">As an evaluator, I can interact with the Executive Summary Dashboard and Tableau Story presentation.</w:t>
            </w:r>
          </w:p>
        </w:tc>
        <w:tc>
          <w:tcPr/>
          <w:p w:rsidR="00000000" w:rsidDel="00000000" w:rsidP="00000000" w:rsidRDefault="00000000" w:rsidRPr="00000000" w14:paraId="00000064">
            <w:pPr>
              <w:rPr/>
            </w:pPr>
            <w:r w:rsidDel="00000000" w:rsidR="00000000" w:rsidRPr="00000000">
              <w:rPr>
                <w:rtl w:val="0"/>
              </w:rPr>
              <w:t xml:space="preserve">All 9 sheets and dashboard present a cohesive, interactive walkthrough.</w:t>
            </w:r>
          </w:p>
        </w:tc>
        <w:tc>
          <w:tcPr/>
          <w:p w:rsidR="00000000" w:rsidDel="00000000" w:rsidP="00000000" w:rsidRDefault="00000000" w:rsidRPr="00000000" w14:paraId="00000065">
            <w:pPr>
              <w:rPr/>
            </w:pPr>
            <w:r w:rsidDel="00000000" w:rsidR="00000000" w:rsidRPr="00000000">
              <w:rPr>
                <w:rtl w:val="0"/>
              </w:rPr>
              <w:t xml:space="preserve">High</w:t>
            </w:r>
          </w:p>
        </w:tc>
        <w:tc>
          <w:tcPr/>
          <w:p w:rsidR="00000000" w:rsidDel="00000000" w:rsidP="00000000" w:rsidRDefault="00000000" w:rsidRPr="00000000" w14:paraId="00000066">
            <w:pPr>
              <w:rPr/>
            </w:pPr>
            <w:r w:rsidDel="00000000" w:rsidR="00000000" w:rsidRPr="00000000">
              <w:rPr>
                <w:rtl w:val="0"/>
              </w:rPr>
              <w:t xml:space="preserve">Sprint-2</w:t>
            </w:r>
          </w:p>
        </w:tc>
      </w:tr>
      <w:tr>
        <w:trPr>
          <w:cantSplit w:val="0"/>
          <w:trHeight w:val="404" w:hRule="atLeast"/>
          <w:tblHeader w:val="0"/>
        </w:trPr>
        <w:tc>
          <w:tcPr/>
          <w:p w:rsidR="00000000" w:rsidDel="00000000" w:rsidP="00000000" w:rsidRDefault="00000000" w:rsidRPr="00000000" w14:paraId="00000067">
            <w:pPr>
              <w:rPr/>
            </w:pPr>
            <w:r w:rsidDel="00000000" w:rsidR="00000000" w:rsidRPr="00000000">
              <w:rPr>
                <w:rtl w:val="0"/>
              </w:rPr>
              <w:t xml:space="preserve">Evaluator / Stakeholder</w:t>
            </w:r>
          </w:p>
        </w:tc>
        <w:tc>
          <w:tcPr/>
          <w:p w:rsidR="00000000" w:rsidDel="00000000" w:rsidP="00000000" w:rsidRDefault="00000000" w:rsidRPr="00000000" w14:paraId="00000068">
            <w:pPr>
              <w:rPr/>
            </w:pPr>
            <w:r w:rsidDel="00000000" w:rsidR="00000000" w:rsidRPr="00000000">
              <w:rPr>
                <w:rtl w:val="0"/>
              </w:rPr>
              <w:t xml:space="preserve">Publishing &amp; Reporting</w:t>
            </w:r>
          </w:p>
        </w:tc>
        <w:tc>
          <w:tcPr/>
          <w:p w:rsidR="00000000" w:rsidDel="00000000" w:rsidP="00000000" w:rsidRDefault="00000000" w:rsidRPr="00000000" w14:paraId="00000069">
            <w:pPr>
              <w:rPr/>
            </w:pPr>
            <w:r w:rsidDel="00000000" w:rsidR="00000000" w:rsidRPr="00000000">
              <w:rPr>
                <w:rtl w:val="0"/>
              </w:rPr>
              <w:t xml:space="preserve">USN-8</w:t>
            </w:r>
          </w:p>
        </w:tc>
        <w:tc>
          <w:tcPr/>
          <w:p w:rsidR="00000000" w:rsidDel="00000000" w:rsidP="00000000" w:rsidRDefault="00000000" w:rsidRPr="00000000" w14:paraId="0000006A">
            <w:pPr>
              <w:rPr/>
            </w:pPr>
            <w:r w:rsidDel="00000000" w:rsidR="00000000" w:rsidRPr="00000000">
              <w:rPr>
                <w:rtl w:val="0"/>
              </w:rPr>
              <w:t xml:space="preserve">As an evaluator, I can access the live project published on Tableau Public and review project documentation.</w:t>
            </w:r>
          </w:p>
        </w:tc>
        <w:tc>
          <w:tcPr/>
          <w:p w:rsidR="00000000" w:rsidDel="00000000" w:rsidP="00000000" w:rsidRDefault="00000000" w:rsidRPr="00000000" w14:paraId="0000006B">
            <w:pPr>
              <w:rPr/>
            </w:pPr>
            <w:r w:rsidDel="00000000" w:rsidR="00000000" w:rsidRPr="00000000">
              <w:rPr>
                <w:rtl w:val="0"/>
              </w:rPr>
              <w:t xml:space="preserve">Live Tableau Public URL loads successfully and is fully interactive.</w:t>
            </w:r>
          </w:p>
        </w:tc>
        <w:tc>
          <w:tcPr/>
          <w:p w:rsidR="00000000" w:rsidDel="00000000" w:rsidP="00000000" w:rsidRDefault="00000000" w:rsidRPr="00000000" w14:paraId="0000006C">
            <w:pPr>
              <w:rPr/>
            </w:pPr>
            <w:r w:rsidDel="00000000" w:rsidR="00000000" w:rsidRPr="00000000">
              <w:rPr>
                <w:rtl w:val="0"/>
              </w:rPr>
              <w:t xml:space="preserve">High</w:t>
            </w:r>
          </w:p>
        </w:tc>
        <w:tc>
          <w:tcPr/>
          <w:p w:rsidR="00000000" w:rsidDel="00000000" w:rsidP="00000000" w:rsidRDefault="00000000" w:rsidRPr="00000000" w14:paraId="0000006D">
            <w:pPr>
              <w:rPr/>
            </w:pPr>
            <w:r w:rsidDel="00000000" w:rsidR="00000000" w:rsidRPr="00000000">
              <w:rPr>
                <w:rtl w:val="0"/>
              </w:rPr>
              <w:t xml:space="preserve">Sprint-2</w:t>
            </w:r>
          </w:p>
        </w:tc>
      </w:tr>
    </w:tbl>
    <w:p w:rsidR="00000000" w:rsidDel="00000000" w:rsidP="00000000" w:rsidRDefault="00000000" w:rsidRPr="00000000" w14:paraId="0000006E">
      <w:pPr>
        <w:rPr>
          <w:rFonts w:ascii="Arial" w:cs="Arial" w:eastAsia="Arial" w:hAnsi="Arial"/>
        </w:rPr>
      </w:pPr>
      <w:r w:rsidDel="00000000" w:rsidR="00000000" w:rsidRPr="00000000">
        <w:rPr>
          <w:rtl w:val="0"/>
        </w:rPr>
      </w:r>
    </w:p>
    <w:sectPr>
      <w:headerReference r:id="rId9"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259079</wp:posOffset>
          </wp:positionV>
          <wp:extent cx="864691" cy="395288"/>
          <wp:effectExtent b="0" l="0" r="0" t="0"/>
          <wp:wrapNone/>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3" name="image1.png"/>
          <a:graphic>
            <a:graphicData uri="http://schemas.openxmlformats.org/drawingml/2006/picture">
              <pic:pic>
                <pic:nvPicPr>
                  <pic:cNvPr id="0" name="image1.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