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SKILLBRIDGE-01</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Global Olympic Performance Analysis</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6">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3" name="image3.png"/>
            <a:graphic>
              <a:graphicData uri="http://schemas.openxmlformats.org/drawingml/2006/picture">
                <pic:pic>
                  <pic:nvPicPr>
                    <pic:cNvPr id="0" name="image3.png"/>
                    <pic:cNvPicPr preferRelativeResize="0"/>
                  </pic:nvPicPr>
                  <pic:blipFill>
                    <a:blip r:embed="rId7"/>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pPr>
      <w:r w:rsidDel="00000000" w:rsidR="00000000" w:rsidRPr="00000000">
        <w:rPr>
          <w:rtl w:val="0"/>
        </w:rPr>
        <w:br w:type="textWrapping"/>
        <w:t xml:space="preserve">Filled Empathy Map Canvas - Persona: Alex Vance (Sports Data Analyst / Evaluator)</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p w:rsidR="00000000" w:rsidDel="00000000" w:rsidP="00000000" w:rsidRDefault="00000000" w:rsidRPr="00000000" w14:paraId="00000017">
            <w:pPr>
              <w:rPr/>
            </w:pPr>
            <w:r w:rsidDel="00000000" w:rsidR="00000000" w:rsidRPr="00000000">
              <w:rPr>
                <w:rtl w:val="0"/>
              </w:rPr>
              <w:t xml:space="preserve">SAYS</w:t>
            </w:r>
          </w:p>
        </w:tc>
        <w:tc>
          <w:tcPr/>
          <w:p w:rsidR="00000000" w:rsidDel="00000000" w:rsidP="00000000" w:rsidRDefault="00000000" w:rsidRPr="00000000" w14:paraId="00000018">
            <w:pPr>
              <w:rPr/>
            </w:pPr>
            <w:r w:rsidDel="00000000" w:rsidR="00000000" w:rsidRPr="00000000">
              <w:rPr>
                <w:rtl w:val="0"/>
              </w:rPr>
              <w:t xml:space="preserve">THINKS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 "We need a clear, multi-dimensional view of historical Olympic participation and medal distribution."</w:t>
              <w:br w:type="textWrapping"/>
              <w:t xml:space="preserve">• "Can we easily filter and explore athlete demographics and gender equity trends across decades?"</w:t>
              <w:br w:type="textWrapping"/>
              <w:t xml:space="preserve">• "The visualization must be fully interactive and easily accessible via Tableau Public."</w:t>
            </w:r>
          </w:p>
        </w:tc>
        <w:tc>
          <w:tcPr/>
          <w:p w:rsidR="00000000" w:rsidDel="00000000" w:rsidP="00000000" w:rsidRDefault="00000000" w:rsidRPr="00000000" w14:paraId="0000001A">
            <w:pPr>
              <w:rPr/>
            </w:pPr>
            <w:r w:rsidDel="00000000" w:rsidR="00000000" w:rsidRPr="00000000">
              <w:rPr>
                <w:rtl w:val="0"/>
              </w:rPr>
              <w:t xml:space="preserve">• "Is the historical dataset accurate and properly cleaned using Pandas and relational joins?"</w:t>
              <w:br w:type="textWrapping"/>
              <w:t xml:space="preserve">• "Will the executive dashboard effectively summarize multi-decade trends without clutter?"</w:t>
              <w:br w:type="textWrapping"/>
              <w:t xml:space="preserve">• "Does the Tableau Story provide a seamless narrative walkthrough for evaluators?"</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DOES</w:t>
            </w:r>
          </w:p>
        </w:tc>
        <w:tc>
          <w:tcPr/>
          <w:p w:rsidR="00000000" w:rsidDel="00000000" w:rsidP="00000000" w:rsidRDefault="00000000" w:rsidRPr="00000000" w14:paraId="0000001C">
            <w:pPr>
              <w:rPr/>
            </w:pPr>
            <w:r w:rsidDel="00000000" w:rsidR="00000000" w:rsidRPr="00000000">
              <w:rPr>
                <w:rtl w:val="0"/>
              </w:rPr>
              <w:t xml:space="preserve">FEELS</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 Investigates multi-decade historical records across Summer and Winter Olympic games.</w:t>
              <w:br w:type="textWrapping"/>
              <w:t xml:space="preserve">• Interacts with Tableau dashboards, global filters, and tooltips.</w:t>
              <w:br w:type="textWrapping"/>
              <w:t xml:space="preserve">• Reviews project documentation and verifies metric calculations.</w:t>
            </w:r>
          </w:p>
        </w:tc>
        <w:tc>
          <w:tcPr/>
          <w:p w:rsidR="00000000" w:rsidDel="00000000" w:rsidP="00000000" w:rsidRDefault="00000000" w:rsidRPr="00000000" w14:paraId="0000001E">
            <w:pPr>
              <w:rPr/>
            </w:pPr>
            <w:r w:rsidDel="00000000" w:rsidR="00000000" w:rsidRPr="00000000">
              <w:rPr>
                <w:rtl w:val="0"/>
              </w:rPr>
              <w:t xml:space="preserve">• Engaged and impressed by the clean floating layout and professional color coding of the dashboards.</w:t>
              <w:br w:type="textWrapping"/>
              <w:t xml:space="preserve">• Confident in the data-driven insights regarding gender equity and top-performing nations.</w:t>
              <w:br w:type="textWrapping"/>
              <w:t xml:space="preserve">• Satisfied with the comprehensive project documentation and live Tableau Public accessibility.</w:t>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8"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ural.co/templates/empathy-map-canvas" TargetMode="External"/><Relationship Id="rId7" Type="http://schemas.openxmlformats.org/officeDocument/2006/relationships/image" Target="media/image3.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