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March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SKILLBRIDGE-01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Global Olympic Performance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To analyze historical Olympic games data (athlete events and NOC regions) across 9 distinct visualization boards and a unified Tableau Story to uncover participation trends, gender growth, medal distributions, age demographics, and regional/country performance efficiencies.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Covers historical Olympic dataset records including athlete demographics, sport categories, summer and winter seasons, medal counts, host cities, and geographical regions from inception to modern Olympic games, delivered via Tableau Public visualizations and project documentation.</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Stakeholders lack a comprehensive, interactive, and multi-dimensional BI solution to visualize how global sports participation, gender equity, age demographics, and regional success have evolved over the history of the Olympic Games.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Enables sports analysts, researchers, and event organizers to derive data-driven insights into athletic performance trends, evaluate country-level efficiency, and understand historical shifts in global sports representation.</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Employs an exploratory data analysis and BI methodology using Python and Pandas for data cleaning and preparation, joined with relational NOC region lookups, and built into 9 interactive Tableau dashboards compiled into a seamless Tableau Story.</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9 distinct interactive visualization boards covering global metrics, medal distributions, historical trends, gender participation, age distribution, top sports, regional performance, and seasonal breakdowns.</w:t>
              <w:br w:type="textWrapping"/>
              <w:t xml:space="preserve">• Unified Tableau Story presentation for fluid walkthroughs.</w:t>
              <w:br w:type="textWrapping"/>
              <w:t xml:space="preserve">• Fully hosted and accessible live via Tableau Public.</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CPU/GPU specifications, number of cores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Standard Multi-core CPU (Intel Core i5/i7 or Apple Silicon), 4+ cores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specifications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pPr>
            <w:r w:rsidDel="00000000" w:rsidR="00000000" w:rsidRPr="00000000">
              <w:rPr>
                <w:rtl w:val="0"/>
              </w:rPr>
              <w:t xml:space="preserve">8 GB RAM minimum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space for data, models, and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500 MB free disk space for dataset repository and Tableau local cache</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frameworks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pPr>
            <w:r w:rsidDel="00000000" w:rsidR="00000000" w:rsidRPr="00000000">
              <w:rPr>
                <w:rtl w:val="0"/>
              </w:rPr>
              <w:t xml:space="preserve">Tableau Desktop / Tableau Public web interface, Python runtime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libraries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pPr>
            <w:r w:rsidDel="00000000" w:rsidR="00000000" w:rsidRPr="00000000">
              <w:rPr>
                <w:rtl w:val="0"/>
              </w:rPr>
              <w:t xml:space="preserve">pandas, numpy, openpyxl, pypdf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pPr>
            <w:r w:rsidDel="00000000" w:rsidR="00000000" w:rsidRPr="00000000">
              <w:rPr>
                <w:rtl w:val="0"/>
              </w:rPr>
              <w:t xml:space="preserve">Tableau Desktop, Visual Studio Code / Jupyter Notebook, Git &amp; GitHub</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size,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rPr/>
            </w:pPr>
            <w:r w:rsidDel="00000000" w:rsidR="00000000" w:rsidRPr="00000000">
              <w:rPr>
                <w:rtl w:val="0"/>
              </w:rPr>
              <w:t xml:space="preserve">Kaggle historical Olympic dataset (athlete_events.csv &amp; noc_regions.csv), CSV format, ~270,000+ rows</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-28573</wp:posOffset>
          </wp:positionV>
          <wp:extent cx="1376363" cy="58987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