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SKILLBRIDGE-01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Global Olympic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Data Access &amp; Integration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Access and integrate historical Olympic datasets (athlete_events.csv and noc_regions.csv) to map athlete records with country codes and geographical regions.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Clean raw records, handle missing age/medal values, perform relational joins between athlete events and NOC regions, and prepare structured tables for BI ingestion.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Analysis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Aggregate participation counts, compute medal distributions (Gold, Silver, Bronze), calculate historical growth trends across decades, and evaluate athlete age demographics.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Business Insights &amp; Analytical Outputs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Provide 9 distinct interactive visualization sheets covering participation, medal counts, historical trends, gender growth, age distribution, top sports, host cities, and seasonal breakdowns, summarized via an Executive Dashboard and Tableau Story.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User Interaction &amp; Analysis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Enable users and evaluators to interact with dashboards using global filters (Country, Sport, Season, Year), tooltips, and seamless click-through Tableau Story presentation steps.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 Update &amp; Reporting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Publish and update analytical outputs directly to Tableau Public, ensuring fully accessible, interactive web-based reporting for project evaluation.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The Tableau Public dashboards and Story presentation feature an intuitive, clean layout with self-explanatory tooltips, clear color coding, and responsive sizing suitable for all evaluators.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Ensures secure data handling of public historical CSV records, utilizing secure cloud publishing via Tableau Public credentials without exposing sensitive local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Maintains consistent data integrity and accurate metric calculations across all 9 sheets through robust Pandas preprocessing and Tableau data source validation.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Optimized data extracts and lightweight CSV data models ensure rapid dashboard rendering and smooth interactivity without lag.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Hosted 24/7 on Tableau Public cloud infrastructure, ensuring continuous online accessibility for project evaluation and video walkthrough demos.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Designed to seamlessly handle large-scale historical sports datasets (~270,000+ rows) and easily accommodate future Olympic games data additions.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