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500"/>
        <w:gridCol w:w="1000"/>
        <w:gridCol w:w="900"/>
        <w:gridCol w:w="4906"/>
      </w:tblGrid>
      <w:tr w:rsidR="00AA13D1" w14:paraId="3E7AEC4D" w14:textId="77777777" w:rsidTr="00A22968">
        <w:tc>
          <w:tcPr>
            <w:tcW w:w="1400" w:type="dxa"/>
            <w:shd w:val="clear" w:color="auto" w:fill="1B3A6B"/>
            <w:tcMar>
              <w:top w:w="100" w:type="dxa"/>
              <w:left w:w="120" w:type="dxa"/>
              <w:bottom w:w="100" w:type="dxa"/>
              <w:right w:w="120" w:type="dxa"/>
            </w:tcMar>
            <w:vAlign w:val="center"/>
          </w:tcPr>
          <w:p w14:paraId="1383652B" w14:textId="77777777" w:rsidR="00AA13D1" w:rsidRDefault="006145A5">
            <w:pPr>
              <w:jc w:val="center"/>
            </w:pPr>
            <w:r>
              <w:rPr>
                <w:b/>
                <w:bCs/>
                <w:color w:val="FFFFFF"/>
              </w:rPr>
              <w:t>Trimester</w:t>
            </w:r>
          </w:p>
        </w:tc>
        <w:tc>
          <w:tcPr>
            <w:tcW w:w="1500" w:type="dxa"/>
            <w:shd w:val="clear" w:color="auto" w:fill="1B3A6B"/>
            <w:tcMar>
              <w:top w:w="100" w:type="dxa"/>
              <w:left w:w="120" w:type="dxa"/>
              <w:bottom w:w="100" w:type="dxa"/>
              <w:right w:w="120" w:type="dxa"/>
            </w:tcMar>
            <w:vAlign w:val="center"/>
          </w:tcPr>
          <w:p w14:paraId="32CCE4C9" w14:textId="77777777" w:rsidR="00AA13D1" w:rsidRDefault="006145A5">
            <w:pPr>
              <w:jc w:val="center"/>
            </w:pPr>
            <w:r>
              <w:rPr>
                <w:b/>
                <w:bCs/>
                <w:color w:val="FFFFFF"/>
              </w:rPr>
              <w:t>Course Code</w:t>
            </w:r>
          </w:p>
        </w:tc>
        <w:tc>
          <w:tcPr>
            <w:tcW w:w="1000" w:type="dxa"/>
            <w:shd w:val="clear" w:color="auto" w:fill="1B3A6B"/>
            <w:tcMar>
              <w:top w:w="100" w:type="dxa"/>
              <w:left w:w="120" w:type="dxa"/>
              <w:bottom w:w="100" w:type="dxa"/>
              <w:right w:w="120" w:type="dxa"/>
            </w:tcMar>
            <w:vAlign w:val="center"/>
          </w:tcPr>
          <w:p w14:paraId="7971B567" w14:textId="77777777" w:rsidR="00AA13D1" w:rsidRDefault="006145A5">
            <w:pPr>
              <w:jc w:val="center"/>
            </w:pPr>
            <w:r>
              <w:rPr>
                <w:b/>
                <w:bCs/>
                <w:color w:val="FFFFFF"/>
              </w:rPr>
              <w:t>Credits</w:t>
            </w:r>
          </w:p>
        </w:tc>
        <w:tc>
          <w:tcPr>
            <w:tcW w:w="900" w:type="dxa"/>
            <w:shd w:val="clear" w:color="auto" w:fill="1B3A6B"/>
            <w:tcMar>
              <w:top w:w="100" w:type="dxa"/>
              <w:left w:w="120" w:type="dxa"/>
              <w:bottom w:w="100" w:type="dxa"/>
              <w:right w:w="120" w:type="dxa"/>
            </w:tcMar>
            <w:vAlign w:val="center"/>
          </w:tcPr>
          <w:p w14:paraId="1A492E13" w14:textId="77777777" w:rsidR="00AA13D1" w:rsidRDefault="006145A5">
            <w:pPr>
              <w:jc w:val="center"/>
            </w:pPr>
            <w:r>
              <w:rPr>
                <w:b/>
                <w:bCs/>
                <w:color w:val="FFFFFF"/>
              </w:rPr>
              <w:t>Hours</w:t>
            </w:r>
          </w:p>
        </w:tc>
        <w:tc>
          <w:tcPr>
            <w:tcW w:w="4906" w:type="dxa"/>
            <w:shd w:val="clear" w:color="auto" w:fill="1B3A6B"/>
            <w:tcMar>
              <w:top w:w="100" w:type="dxa"/>
              <w:left w:w="120" w:type="dxa"/>
              <w:bottom w:w="100" w:type="dxa"/>
              <w:right w:w="120" w:type="dxa"/>
            </w:tcMar>
            <w:vAlign w:val="center"/>
          </w:tcPr>
          <w:p w14:paraId="047959E9" w14:textId="77777777" w:rsidR="00AA13D1" w:rsidRDefault="006145A5">
            <w:pPr>
              <w:jc w:val="center"/>
            </w:pPr>
            <w:r>
              <w:rPr>
                <w:b/>
                <w:bCs/>
                <w:color w:val="FFFFFF"/>
              </w:rPr>
              <w:t>Course Name</w:t>
            </w:r>
          </w:p>
        </w:tc>
      </w:tr>
      <w:tr w:rsidR="00243A6E" w14:paraId="5C5F121B" w14:textId="77777777" w:rsidTr="00F85424">
        <w:tc>
          <w:tcPr>
            <w:tcW w:w="1400" w:type="dxa"/>
            <w:tcMar>
              <w:top w:w="80" w:type="dxa"/>
              <w:left w:w="120" w:type="dxa"/>
              <w:bottom w:w="80" w:type="dxa"/>
              <w:right w:w="120" w:type="dxa"/>
            </w:tcMar>
          </w:tcPr>
          <w:p w14:paraId="0CC829B5" w14:textId="2231C448" w:rsidR="00243A6E" w:rsidRPr="00243A6E" w:rsidRDefault="00243A6E" w:rsidP="00243A6E">
            <w:pPr>
              <w:jc w:val="center"/>
              <w:rPr>
                <w:b/>
                <w:bCs/>
              </w:rPr>
            </w:pPr>
            <w:r w:rsidRPr="00243A6E">
              <w:rPr>
                <w:b/>
                <w:bCs/>
              </w:rPr>
              <w:t>I</w:t>
            </w:r>
          </w:p>
        </w:tc>
        <w:tc>
          <w:tcPr>
            <w:tcW w:w="1500" w:type="dxa"/>
            <w:tcMar>
              <w:top w:w="80" w:type="dxa"/>
              <w:left w:w="120" w:type="dxa"/>
              <w:bottom w:w="80" w:type="dxa"/>
              <w:right w:w="120" w:type="dxa"/>
            </w:tcMar>
          </w:tcPr>
          <w:p w14:paraId="75F4AF29" w14:textId="44C2A5D7" w:rsidR="00243A6E" w:rsidRPr="00243A6E" w:rsidRDefault="00243A6E" w:rsidP="00243A6E">
            <w:pPr>
              <w:jc w:val="center"/>
              <w:rPr>
                <w:b/>
                <w:bCs/>
              </w:rPr>
            </w:pPr>
            <w:r w:rsidRPr="00243A6E">
              <w:rPr>
                <w:b/>
                <w:bCs/>
              </w:rPr>
              <w:t>1GNC02</w:t>
            </w:r>
          </w:p>
        </w:tc>
        <w:tc>
          <w:tcPr>
            <w:tcW w:w="1000" w:type="dxa"/>
            <w:tcMar>
              <w:top w:w="80" w:type="dxa"/>
              <w:left w:w="120" w:type="dxa"/>
              <w:bottom w:w="80" w:type="dxa"/>
              <w:right w:w="120" w:type="dxa"/>
            </w:tcMar>
          </w:tcPr>
          <w:p w14:paraId="46F0B0C1" w14:textId="74D50570" w:rsidR="00243A6E" w:rsidRPr="00243A6E" w:rsidRDefault="00243A6E" w:rsidP="00243A6E">
            <w:pPr>
              <w:jc w:val="center"/>
              <w:rPr>
                <w:b/>
                <w:bCs/>
              </w:rPr>
            </w:pPr>
            <w:r w:rsidRPr="00243A6E">
              <w:rPr>
                <w:b/>
                <w:bCs/>
              </w:rPr>
              <w:t>3</w:t>
            </w:r>
          </w:p>
        </w:tc>
        <w:tc>
          <w:tcPr>
            <w:tcW w:w="900" w:type="dxa"/>
            <w:tcMar>
              <w:top w:w="80" w:type="dxa"/>
              <w:left w:w="120" w:type="dxa"/>
              <w:bottom w:w="80" w:type="dxa"/>
              <w:right w:w="120" w:type="dxa"/>
            </w:tcMar>
          </w:tcPr>
          <w:p w14:paraId="1AB9B581" w14:textId="1C774802" w:rsidR="00243A6E" w:rsidRPr="00243A6E" w:rsidRDefault="00243A6E" w:rsidP="00243A6E">
            <w:pPr>
              <w:jc w:val="center"/>
              <w:rPr>
                <w:b/>
                <w:bCs/>
              </w:rPr>
            </w:pPr>
            <w:r w:rsidRPr="00243A6E">
              <w:rPr>
                <w:b/>
                <w:bCs/>
              </w:rPr>
              <w:t>30</w:t>
            </w:r>
          </w:p>
        </w:tc>
        <w:tc>
          <w:tcPr>
            <w:tcW w:w="4906" w:type="dxa"/>
            <w:tcMar>
              <w:top w:w="80" w:type="dxa"/>
              <w:left w:w="120" w:type="dxa"/>
              <w:bottom w:w="80" w:type="dxa"/>
              <w:right w:w="120" w:type="dxa"/>
            </w:tcMar>
          </w:tcPr>
          <w:p w14:paraId="6174E416" w14:textId="7FE1F5F2" w:rsidR="00243A6E" w:rsidRPr="00243A6E" w:rsidRDefault="00243A6E" w:rsidP="00243A6E">
            <w:pPr>
              <w:jc w:val="center"/>
              <w:rPr>
                <w:b/>
                <w:bCs/>
              </w:rPr>
            </w:pPr>
            <w:r w:rsidRPr="00243A6E">
              <w:rPr>
                <w:b/>
                <w:bCs/>
              </w:rPr>
              <w:t>Legal Aspects of Business</w:t>
            </w:r>
          </w:p>
        </w:tc>
      </w:tr>
    </w:tbl>
    <w:p w14:paraId="1AE1FAB1" w14:textId="77777777" w:rsidR="00AA13D1" w:rsidRDefault="006145A5">
      <w:pPr>
        <w:pBdr>
          <w:bottom w:val="single" w:sz="6" w:space="2" w:color="C8161D"/>
        </w:pBdr>
        <w:spacing w:before="240" w:after="80"/>
      </w:pPr>
      <w:r>
        <w:rPr>
          <w:b/>
          <w:bCs/>
          <w:color w:val="1B3A6B"/>
          <w:sz w:val="24"/>
          <w:szCs w:val="24"/>
        </w:rPr>
        <w:t>Course Overview</w:t>
      </w:r>
    </w:p>
    <w:p w14:paraId="49A688EC" w14:textId="77777777" w:rsidR="00243A6E" w:rsidRDefault="00243A6E" w:rsidP="00243A6E">
      <w:pPr>
        <w:spacing w:before="60" w:after="60"/>
        <w:jc w:val="both"/>
      </w:pPr>
      <w:r>
        <w:t>This course equips PGDM students with a comprehensive and practice-oriented understanding of the legal framework governing business operations in India and in cross-border commerce. It builds from the foundations of the Indian legal and judicial system through contract law and drafting, the law of sale of goods and negotiable instruments, business-entity choice, corporate governance and competition law, to the rapidly evolving domains of data protection, consumer protection, intellectual property and international trade. Throughout, the course connects statutory provisions to managerial decisions — risk identification, compliance design, contract negotiation and dispute avoidance — rather than treating law as an isolated academic discipline.</w:t>
      </w:r>
    </w:p>
    <w:p w14:paraId="41138C26" w14:textId="14DFA220" w:rsidR="00AA13D1" w:rsidRDefault="00243A6E" w:rsidP="00243A6E">
      <w:pPr>
        <w:spacing w:before="60" w:after="60"/>
        <w:jc w:val="both"/>
      </w:pPr>
      <w:r>
        <w:t>Through landmark-judgment analysis, contract drafting and redlining exercises, regulatory-portal simulations (MCA21, CCI, DPDP Act compliance) and curated case studies on corporate governance and digital-platform regulation, students develop the practical legal literacy required for roles in general management, consulting, compliance, product and strategy. Special emphasis is placed on Alternative Dispute Resolution, legal technology (AI-assisted contract review and online dispute resolution), and the legal dimensions of India’s digital and startup economy</w:t>
      </w:r>
      <w:r w:rsidR="006145A5">
        <w:t>.</w:t>
      </w:r>
    </w:p>
    <w:p w14:paraId="2A02B018" w14:textId="77777777" w:rsidR="00AA13D1" w:rsidRDefault="006145A5">
      <w:pPr>
        <w:pBdr>
          <w:bottom w:val="single" w:sz="6" w:space="2" w:color="C8161D"/>
        </w:pBdr>
        <w:spacing w:before="240" w:after="80"/>
      </w:pPr>
      <w:r>
        <w:rPr>
          <w:b/>
          <w:bCs/>
          <w:color w:val="1B3A6B"/>
          <w:sz w:val="24"/>
          <w:szCs w:val="24"/>
        </w:rPr>
        <w:t>Course Outcomes</w:t>
      </w:r>
    </w:p>
    <w:p w14:paraId="442A41F7" w14:textId="77777777" w:rsidR="00AA13D1" w:rsidRDefault="006145A5">
      <w:pPr>
        <w:spacing w:before="60" w:after="60"/>
      </w:pPr>
      <w:r>
        <w:t>After completing this course, students will be able to:</w:t>
      </w:r>
    </w:p>
    <w:p w14:paraId="243171E1" w14:textId="77777777" w:rsidR="00AA13D1" w:rsidRDefault="00AA13D1">
      <w:pPr>
        <w:spacing w:before="6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4"/>
        <w:gridCol w:w="4355"/>
        <w:gridCol w:w="1672"/>
        <w:gridCol w:w="629"/>
        <w:gridCol w:w="629"/>
        <w:gridCol w:w="629"/>
        <w:gridCol w:w="629"/>
        <w:gridCol w:w="629"/>
      </w:tblGrid>
      <w:tr w:rsidR="00AA13D1" w14:paraId="28B18E97" w14:textId="77777777" w:rsidTr="00243A6E">
        <w:tc>
          <w:tcPr>
            <w:tcW w:w="534" w:type="dxa"/>
            <w:vMerge w:val="restart"/>
            <w:shd w:val="clear" w:color="auto" w:fill="1B3A6B"/>
            <w:tcMar>
              <w:top w:w="80" w:type="dxa"/>
              <w:left w:w="80" w:type="dxa"/>
              <w:bottom w:w="80" w:type="dxa"/>
              <w:right w:w="80" w:type="dxa"/>
            </w:tcMar>
            <w:vAlign w:val="center"/>
          </w:tcPr>
          <w:p w14:paraId="17EA93B7" w14:textId="77777777" w:rsidR="00AA13D1" w:rsidRDefault="006145A5">
            <w:pPr>
              <w:jc w:val="center"/>
            </w:pPr>
            <w:r>
              <w:rPr>
                <w:b/>
                <w:bCs/>
                <w:color w:val="FFFFFF"/>
              </w:rPr>
              <w:t>Sr. No.</w:t>
            </w:r>
          </w:p>
        </w:tc>
        <w:tc>
          <w:tcPr>
            <w:tcW w:w="4355" w:type="dxa"/>
            <w:vMerge w:val="restart"/>
            <w:shd w:val="clear" w:color="auto" w:fill="1B3A6B"/>
            <w:tcMar>
              <w:top w:w="80" w:type="dxa"/>
              <w:left w:w="120" w:type="dxa"/>
              <w:bottom w:w="80" w:type="dxa"/>
              <w:right w:w="120" w:type="dxa"/>
            </w:tcMar>
            <w:vAlign w:val="center"/>
          </w:tcPr>
          <w:p w14:paraId="1D319831" w14:textId="77777777" w:rsidR="00AA13D1" w:rsidRDefault="006145A5">
            <w:pPr>
              <w:jc w:val="center"/>
            </w:pPr>
            <w:r>
              <w:rPr>
                <w:b/>
                <w:bCs/>
                <w:color w:val="FFFFFF"/>
              </w:rPr>
              <w:t>Course Outcomes</w:t>
            </w:r>
          </w:p>
        </w:tc>
        <w:tc>
          <w:tcPr>
            <w:tcW w:w="1672" w:type="dxa"/>
            <w:vMerge w:val="restart"/>
            <w:shd w:val="clear" w:color="auto" w:fill="1B3A6B"/>
            <w:tcMar>
              <w:top w:w="80" w:type="dxa"/>
              <w:left w:w="100" w:type="dxa"/>
              <w:bottom w:w="80" w:type="dxa"/>
              <w:right w:w="100" w:type="dxa"/>
            </w:tcMar>
            <w:vAlign w:val="center"/>
          </w:tcPr>
          <w:p w14:paraId="12A858EF" w14:textId="77777777" w:rsidR="00AA13D1" w:rsidRDefault="006145A5">
            <w:pPr>
              <w:jc w:val="center"/>
            </w:pPr>
            <w:r>
              <w:rPr>
                <w:b/>
                <w:bCs/>
                <w:color w:val="FFFFFF"/>
              </w:rPr>
              <w:t>Bloom's Level</w:t>
            </w:r>
          </w:p>
        </w:tc>
        <w:tc>
          <w:tcPr>
            <w:tcW w:w="3145" w:type="dxa"/>
            <w:gridSpan w:val="5"/>
            <w:shd w:val="clear" w:color="auto" w:fill="1B3A6B"/>
            <w:tcMar>
              <w:top w:w="80" w:type="dxa"/>
              <w:left w:w="100" w:type="dxa"/>
              <w:bottom w:w="80" w:type="dxa"/>
              <w:right w:w="100" w:type="dxa"/>
            </w:tcMar>
            <w:vAlign w:val="center"/>
          </w:tcPr>
          <w:p w14:paraId="5F688717" w14:textId="77777777" w:rsidR="00AA13D1" w:rsidRDefault="006145A5">
            <w:pPr>
              <w:jc w:val="center"/>
            </w:pPr>
            <w:r>
              <w:rPr>
                <w:b/>
                <w:bCs/>
                <w:color w:val="FFFFFF"/>
              </w:rPr>
              <w:t>Mapping of Program Outcomes</w:t>
            </w:r>
          </w:p>
          <w:p w14:paraId="48135505" w14:textId="77777777" w:rsidR="00AA13D1" w:rsidRDefault="006145A5">
            <w:pPr>
              <w:jc w:val="center"/>
            </w:pPr>
            <w:r>
              <w:rPr>
                <w:color w:val="D6E4F3"/>
                <w:sz w:val="17"/>
                <w:szCs w:val="17"/>
              </w:rPr>
              <w:t>(Low: 1, Medium: 2, High: 3)</w:t>
            </w:r>
          </w:p>
        </w:tc>
      </w:tr>
      <w:tr w:rsidR="00AA13D1" w14:paraId="5B356F2A" w14:textId="77777777" w:rsidTr="00243A6E">
        <w:tc>
          <w:tcPr>
            <w:tcW w:w="0" w:type="auto"/>
            <w:vMerge/>
          </w:tcPr>
          <w:p w14:paraId="3EB7EE4E" w14:textId="77777777" w:rsidR="00AA13D1" w:rsidRDefault="00AA13D1"/>
        </w:tc>
        <w:tc>
          <w:tcPr>
            <w:tcW w:w="0" w:type="auto"/>
            <w:vMerge/>
          </w:tcPr>
          <w:p w14:paraId="313DE9B3" w14:textId="77777777" w:rsidR="00AA13D1" w:rsidRDefault="00AA13D1"/>
        </w:tc>
        <w:tc>
          <w:tcPr>
            <w:tcW w:w="0" w:type="auto"/>
            <w:vMerge/>
          </w:tcPr>
          <w:p w14:paraId="2F3B36D2" w14:textId="77777777" w:rsidR="00AA13D1" w:rsidRDefault="00AA13D1"/>
        </w:tc>
        <w:tc>
          <w:tcPr>
            <w:tcW w:w="629" w:type="dxa"/>
            <w:shd w:val="clear" w:color="auto" w:fill="1B3A6B"/>
            <w:tcMar>
              <w:top w:w="60" w:type="dxa"/>
              <w:left w:w="60" w:type="dxa"/>
              <w:bottom w:w="60" w:type="dxa"/>
              <w:right w:w="60" w:type="dxa"/>
            </w:tcMar>
            <w:vAlign w:val="center"/>
          </w:tcPr>
          <w:p w14:paraId="0DB2D203" w14:textId="77777777" w:rsidR="00AA13D1" w:rsidRDefault="006145A5">
            <w:pPr>
              <w:jc w:val="center"/>
            </w:pPr>
            <w:r>
              <w:rPr>
                <w:b/>
                <w:bCs/>
                <w:color w:val="FFFFFF"/>
                <w:sz w:val="19"/>
                <w:szCs w:val="19"/>
              </w:rPr>
              <w:t>PO1</w:t>
            </w:r>
          </w:p>
        </w:tc>
        <w:tc>
          <w:tcPr>
            <w:tcW w:w="629" w:type="dxa"/>
            <w:shd w:val="clear" w:color="auto" w:fill="1B3A6B"/>
            <w:tcMar>
              <w:top w:w="60" w:type="dxa"/>
              <w:left w:w="60" w:type="dxa"/>
              <w:bottom w:w="60" w:type="dxa"/>
              <w:right w:w="60" w:type="dxa"/>
            </w:tcMar>
            <w:vAlign w:val="center"/>
          </w:tcPr>
          <w:p w14:paraId="202F67A7" w14:textId="77777777" w:rsidR="00AA13D1" w:rsidRDefault="006145A5">
            <w:pPr>
              <w:jc w:val="center"/>
            </w:pPr>
            <w:r>
              <w:rPr>
                <w:b/>
                <w:bCs/>
                <w:color w:val="FFFFFF"/>
                <w:sz w:val="19"/>
                <w:szCs w:val="19"/>
              </w:rPr>
              <w:t>PO2</w:t>
            </w:r>
          </w:p>
        </w:tc>
        <w:tc>
          <w:tcPr>
            <w:tcW w:w="629" w:type="dxa"/>
            <w:shd w:val="clear" w:color="auto" w:fill="1B3A6B"/>
            <w:tcMar>
              <w:top w:w="60" w:type="dxa"/>
              <w:left w:w="60" w:type="dxa"/>
              <w:bottom w:w="60" w:type="dxa"/>
              <w:right w:w="60" w:type="dxa"/>
            </w:tcMar>
            <w:vAlign w:val="center"/>
          </w:tcPr>
          <w:p w14:paraId="55A82BBD" w14:textId="77777777" w:rsidR="00AA13D1" w:rsidRDefault="006145A5">
            <w:pPr>
              <w:jc w:val="center"/>
            </w:pPr>
            <w:r>
              <w:rPr>
                <w:b/>
                <w:bCs/>
                <w:color w:val="FFFFFF"/>
                <w:sz w:val="19"/>
                <w:szCs w:val="19"/>
              </w:rPr>
              <w:t>PO3</w:t>
            </w:r>
          </w:p>
        </w:tc>
        <w:tc>
          <w:tcPr>
            <w:tcW w:w="629" w:type="dxa"/>
            <w:shd w:val="clear" w:color="auto" w:fill="1B3A6B"/>
            <w:tcMar>
              <w:top w:w="60" w:type="dxa"/>
              <w:left w:w="60" w:type="dxa"/>
              <w:bottom w:w="60" w:type="dxa"/>
              <w:right w:w="60" w:type="dxa"/>
            </w:tcMar>
            <w:vAlign w:val="center"/>
          </w:tcPr>
          <w:p w14:paraId="2FA2C2BC" w14:textId="77777777" w:rsidR="00AA13D1" w:rsidRDefault="006145A5">
            <w:pPr>
              <w:jc w:val="center"/>
            </w:pPr>
            <w:r>
              <w:rPr>
                <w:b/>
                <w:bCs/>
                <w:color w:val="FFFFFF"/>
                <w:sz w:val="19"/>
                <w:szCs w:val="19"/>
              </w:rPr>
              <w:t>PO4</w:t>
            </w:r>
          </w:p>
        </w:tc>
        <w:tc>
          <w:tcPr>
            <w:tcW w:w="629" w:type="dxa"/>
            <w:shd w:val="clear" w:color="auto" w:fill="1B3A6B"/>
            <w:tcMar>
              <w:top w:w="60" w:type="dxa"/>
              <w:left w:w="60" w:type="dxa"/>
              <w:bottom w:w="60" w:type="dxa"/>
              <w:right w:w="60" w:type="dxa"/>
            </w:tcMar>
            <w:vAlign w:val="center"/>
          </w:tcPr>
          <w:p w14:paraId="12156E4E" w14:textId="77777777" w:rsidR="00AA13D1" w:rsidRDefault="006145A5">
            <w:pPr>
              <w:jc w:val="center"/>
            </w:pPr>
            <w:r>
              <w:rPr>
                <w:b/>
                <w:bCs/>
                <w:color w:val="FFFFFF"/>
                <w:sz w:val="19"/>
                <w:szCs w:val="19"/>
              </w:rPr>
              <w:t>PO5</w:t>
            </w:r>
          </w:p>
        </w:tc>
      </w:tr>
      <w:tr w:rsidR="00243A6E" w14:paraId="34AE2683" w14:textId="77777777" w:rsidTr="00696E34">
        <w:tc>
          <w:tcPr>
            <w:tcW w:w="534" w:type="dxa"/>
            <w:tcMar>
              <w:top w:w="80" w:type="dxa"/>
              <w:left w:w="80" w:type="dxa"/>
              <w:bottom w:w="80" w:type="dxa"/>
              <w:right w:w="80" w:type="dxa"/>
            </w:tcMar>
            <w:vAlign w:val="center"/>
          </w:tcPr>
          <w:p w14:paraId="2BF68D61" w14:textId="77777777" w:rsidR="00243A6E" w:rsidRDefault="00243A6E" w:rsidP="00243A6E">
            <w:pPr>
              <w:jc w:val="center"/>
            </w:pPr>
            <w:r>
              <w:rPr>
                <w:b/>
                <w:bCs/>
                <w:color w:val="1B3A6B"/>
              </w:rPr>
              <w:t>1</w:t>
            </w:r>
          </w:p>
        </w:tc>
        <w:tc>
          <w:tcPr>
            <w:tcW w:w="4355" w:type="dxa"/>
            <w:tcMar>
              <w:top w:w="80" w:type="dxa"/>
              <w:left w:w="120" w:type="dxa"/>
              <w:bottom w:w="80" w:type="dxa"/>
              <w:right w:w="120" w:type="dxa"/>
            </w:tcMar>
            <w:vAlign w:val="center"/>
          </w:tcPr>
          <w:p w14:paraId="2C9A8407" w14:textId="06DD56F2" w:rsidR="00243A6E" w:rsidRPr="00243A6E" w:rsidRDefault="00243A6E" w:rsidP="00243A6E">
            <w:pPr>
              <w:rPr>
                <w:rFonts w:asciiTheme="minorHAnsi" w:hAnsiTheme="minorHAnsi" w:cstheme="minorHAnsi"/>
                <w:sz w:val="19"/>
                <w:szCs w:val="19"/>
              </w:rPr>
            </w:pPr>
            <w:r w:rsidRPr="00243A6E">
              <w:rPr>
                <w:rFonts w:asciiTheme="minorHAnsi" w:hAnsiTheme="minorHAnsi" w:cstheme="minorHAnsi"/>
                <w:b/>
                <w:bCs/>
                <w:i/>
                <w:iCs/>
                <w:sz w:val="19"/>
                <w:szCs w:val="19"/>
              </w:rPr>
              <w:t>Explain</w:t>
            </w:r>
            <w:r w:rsidRPr="00243A6E">
              <w:rPr>
                <w:rFonts w:asciiTheme="minorHAnsi" w:hAnsiTheme="minorHAnsi" w:cstheme="minorHAnsi"/>
                <w:sz w:val="19"/>
                <w:szCs w:val="19"/>
              </w:rPr>
              <w:t xml:space="preserve"> the sources and foundations of Indian business law, the judicial and regulatory architecture, and the role of Alternative Dispute Resolution (ADR) mechanisms in commercial dispute management.</w:t>
            </w:r>
          </w:p>
        </w:tc>
        <w:tc>
          <w:tcPr>
            <w:tcW w:w="1672" w:type="dxa"/>
            <w:tcMar>
              <w:top w:w="80" w:type="dxa"/>
              <w:left w:w="100" w:type="dxa"/>
              <w:bottom w:w="80" w:type="dxa"/>
              <w:right w:w="100" w:type="dxa"/>
            </w:tcMar>
            <w:vAlign w:val="center"/>
          </w:tcPr>
          <w:p w14:paraId="3EC7C674" w14:textId="5F2497EB" w:rsidR="00243A6E" w:rsidRPr="00243A6E" w:rsidRDefault="00243A6E" w:rsidP="00243A6E">
            <w:pPr>
              <w:jc w:val="center"/>
              <w:rPr>
                <w:rFonts w:asciiTheme="minorHAnsi" w:hAnsiTheme="minorHAnsi" w:cstheme="minorHAnsi"/>
                <w:b/>
                <w:bCs/>
                <w:sz w:val="19"/>
                <w:szCs w:val="19"/>
              </w:rPr>
            </w:pPr>
            <w:r w:rsidRPr="00243A6E">
              <w:rPr>
                <w:rFonts w:asciiTheme="minorHAnsi" w:hAnsiTheme="minorHAnsi" w:cstheme="minorHAnsi"/>
                <w:b/>
                <w:bCs/>
                <w:sz w:val="19"/>
                <w:szCs w:val="19"/>
              </w:rPr>
              <w:t>Knowledge</w:t>
            </w:r>
          </w:p>
        </w:tc>
        <w:tc>
          <w:tcPr>
            <w:tcW w:w="629" w:type="dxa"/>
            <w:tcMar>
              <w:top w:w="80" w:type="dxa"/>
              <w:left w:w="40" w:type="dxa"/>
              <w:bottom w:w="80" w:type="dxa"/>
              <w:right w:w="40" w:type="dxa"/>
            </w:tcMar>
            <w:vAlign w:val="center"/>
          </w:tcPr>
          <w:p w14:paraId="111515AD" w14:textId="7F775794" w:rsidR="00243A6E" w:rsidRPr="00243A6E" w:rsidRDefault="00243A6E" w:rsidP="00243A6E">
            <w:pPr>
              <w:jc w:val="center"/>
              <w:rPr>
                <w:rFonts w:asciiTheme="minorHAnsi" w:hAnsiTheme="minorHAnsi" w:cstheme="minorHAnsi"/>
                <w:b/>
                <w:bCs/>
                <w:sz w:val="19"/>
                <w:szCs w:val="19"/>
              </w:rPr>
            </w:pPr>
            <w:r w:rsidRPr="00243A6E">
              <w:rPr>
                <w:rFonts w:asciiTheme="minorHAnsi" w:hAnsiTheme="minorHAnsi" w:cstheme="minorHAnsi"/>
                <w:b/>
                <w:bCs/>
                <w:sz w:val="19"/>
                <w:szCs w:val="19"/>
              </w:rPr>
              <w:t>2</w:t>
            </w:r>
          </w:p>
        </w:tc>
        <w:tc>
          <w:tcPr>
            <w:tcW w:w="629" w:type="dxa"/>
            <w:tcMar>
              <w:top w:w="80" w:type="dxa"/>
              <w:left w:w="40" w:type="dxa"/>
              <w:bottom w:w="80" w:type="dxa"/>
              <w:right w:w="40" w:type="dxa"/>
            </w:tcMar>
            <w:vAlign w:val="center"/>
          </w:tcPr>
          <w:p w14:paraId="70ED56E6" w14:textId="464B3E39" w:rsidR="00243A6E" w:rsidRPr="00243A6E" w:rsidRDefault="00243A6E" w:rsidP="00243A6E">
            <w:pPr>
              <w:jc w:val="center"/>
              <w:rPr>
                <w:rFonts w:asciiTheme="minorHAnsi" w:hAnsiTheme="minorHAnsi" w:cstheme="minorHAnsi"/>
                <w:b/>
                <w:bCs/>
                <w:sz w:val="19"/>
                <w:szCs w:val="19"/>
              </w:rPr>
            </w:pPr>
            <w:r w:rsidRPr="00243A6E">
              <w:rPr>
                <w:rFonts w:asciiTheme="minorHAnsi" w:hAnsiTheme="minorHAnsi" w:cstheme="minorHAnsi"/>
                <w:b/>
                <w:bCs/>
                <w:sz w:val="19"/>
                <w:szCs w:val="19"/>
              </w:rPr>
              <w:t>–</w:t>
            </w:r>
          </w:p>
        </w:tc>
        <w:tc>
          <w:tcPr>
            <w:tcW w:w="629" w:type="dxa"/>
            <w:tcMar>
              <w:top w:w="80" w:type="dxa"/>
              <w:left w:w="40" w:type="dxa"/>
              <w:bottom w:w="80" w:type="dxa"/>
              <w:right w:w="40" w:type="dxa"/>
            </w:tcMar>
            <w:vAlign w:val="center"/>
          </w:tcPr>
          <w:p w14:paraId="5C2BB994" w14:textId="1F1468F9" w:rsidR="00243A6E" w:rsidRPr="00243A6E" w:rsidRDefault="00243A6E" w:rsidP="00243A6E">
            <w:pPr>
              <w:jc w:val="center"/>
              <w:rPr>
                <w:rFonts w:asciiTheme="minorHAnsi" w:hAnsiTheme="minorHAnsi" w:cstheme="minorHAnsi"/>
                <w:b/>
                <w:bCs/>
                <w:sz w:val="19"/>
                <w:szCs w:val="19"/>
              </w:rPr>
            </w:pPr>
            <w:r w:rsidRPr="00243A6E">
              <w:rPr>
                <w:rFonts w:asciiTheme="minorHAnsi" w:hAnsiTheme="minorHAnsi" w:cstheme="minorHAnsi"/>
                <w:b/>
                <w:bCs/>
                <w:sz w:val="19"/>
                <w:szCs w:val="19"/>
              </w:rPr>
              <w:t>–</w:t>
            </w:r>
          </w:p>
        </w:tc>
        <w:tc>
          <w:tcPr>
            <w:tcW w:w="629" w:type="dxa"/>
            <w:tcMar>
              <w:top w:w="80" w:type="dxa"/>
              <w:left w:w="40" w:type="dxa"/>
              <w:bottom w:w="80" w:type="dxa"/>
              <w:right w:w="40" w:type="dxa"/>
            </w:tcMar>
            <w:vAlign w:val="center"/>
          </w:tcPr>
          <w:p w14:paraId="147B3EB5" w14:textId="7ABAA90D" w:rsidR="00243A6E" w:rsidRPr="00243A6E" w:rsidRDefault="00243A6E" w:rsidP="00243A6E">
            <w:pPr>
              <w:jc w:val="center"/>
              <w:rPr>
                <w:rFonts w:asciiTheme="minorHAnsi" w:hAnsiTheme="minorHAnsi" w:cstheme="minorHAnsi"/>
                <w:b/>
                <w:bCs/>
                <w:sz w:val="19"/>
                <w:szCs w:val="19"/>
              </w:rPr>
            </w:pPr>
            <w:r w:rsidRPr="00243A6E">
              <w:rPr>
                <w:rFonts w:asciiTheme="minorHAnsi" w:hAnsiTheme="minorHAnsi" w:cstheme="minorHAnsi"/>
                <w:b/>
                <w:bCs/>
                <w:sz w:val="19"/>
                <w:szCs w:val="19"/>
              </w:rPr>
              <w:t>2</w:t>
            </w:r>
          </w:p>
        </w:tc>
        <w:tc>
          <w:tcPr>
            <w:tcW w:w="629" w:type="dxa"/>
            <w:tcMar>
              <w:top w:w="80" w:type="dxa"/>
              <w:left w:w="40" w:type="dxa"/>
              <w:bottom w:w="80" w:type="dxa"/>
              <w:right w:w="40" w:type="dxa"/>
            </w:tcMar>
            <w:vAlign w:val="center"/>
          </w:tcPr>
          <w:p w14:paraId="5721545C" w14:textId="68120589" w:rsidR="00243A6E" w:rsidRPr="00243A6E" w:rsidRDefault="00243A6E" w:rsidP="00243A6E">
            <w:pPr>
              <w:jc w:val="center"/>
              <w:rPr>
                <w:rFonts w:asciiTheme="minorHAnsi" w:hAnsiTheme="minorHAnsi" w:cstheme="minorHAnsi"/>
                <w:b/>
                <w:bCs/>
                <w:sz w:val="19"/>
                <w:szCs w:val="19"/>
              </w:rPr>
            </w:pPr>
            <w:r w:rsidRPr="00243A6E">
              <w:rPr>
                <w:rFonts w:asciiTheme="minorHAnsi" w:hAnsiTheme="minorHAnsi" w:cstheme="minorHAnsi"/>
                <w:b/>
                <w:bCs/>
                <w:sz w:val="19"/>
                <w:szCs w:val="19"/>
              </w:rPr>
              <w:t>–</w:t>
            </w:r>
          </w:p>
        </w:tc>
      </w:tr>
      <w:tr w:rsidR="00243A6E" w14:paraId="75024BA2" w14:textId="77777777" w:rsidTr="00696E34">
        <w:tc>
          <w:tcPr>
            <w:tcW w:w="534" w:type="dxa"/>
            <w:tcMar>
              <w:top w:w="80" w:type="dxa"/>
              <w:left w:w="80" w:type="dxa"/>
              <w:bottom w:w="80" w:type="dxa"/>
              <w:right w:w="80" w:type="dxa"/>
            </w:tcMar>
            <w:vAlign w:val="center"/>
          </w:tcPr>
          <w:p w14:paraId="1808484F" w14:textId="77777777" w:rsidR="00243A6E" w:rsidRDefault="00243A6E" w:rsidP="00243A6E">
            <w:pPr>
              <w:jc w:val="center"/>
            </w:pPr>
            <w:r>
              <w:rPr>
                <w:b/>
                <w:bCs/>
                <w:color w:val="1B3A6B"/>
              </w:rPr>
              <w:t>2</w:t>
            </w:r>
          </w:p>
        </w:tc>
        <w:tc>
          <w:tcPr>
            <w:tcW w:w="4355" w:type="dxa"/>
            <w:tcMar>
              <w:top w:w="80" w:type="dxa"/>
              <w:left w:w="120" w:type="dxa"/>
              <w:bottom w:w="80" w:type="dxa"/>
              <w:right w:w="120" w:type="dxa"/>
            </w:tcMar>
            <w:vAlign w:val="center"/>
          </w:tcPr>
          <w:p w14:paraId="10CAB493" w14:textId="39851018" w:rsidR="00243A6E" w:rsidRPr="00243A6E" w:rsidRDefault="00243A6E" w:rsidP="00243A6E">
            <w:pPr>
              <w:rPr>
                <w:rFonts w:asciiTheme="minorHAnsi" w:hAnsiTheme="minorHAnsi" w:cstheme="minorHAnsi"/>
                <w:sz w:val="19"/>
                <w:szCs w:val="19"/>
              </w:rPr>
            </w:pPr>
            <w:r w:rsidRPr="00243A6E">
              <w:rPr>
                <w:rFonts w:asciiTheme="minorHAnsi" w:hAnsiTheme="minorHAnsi" w:cstheme="minorHAnsi"/>
                <w:b/>
                <w:bCs/>
                <w:i/>
                <w:iCs/>
                <w:sz w:val="19"/>
                <w:szCs w:val="19"/>
              </w:rPr>
              <w:t>Apply</w:t>
            </w:r>
            <w:r w:rsidRPr="00243A6E">
              <w:rPr>
                <w:rFonts w:asciiTheme="minorHAnsi" w:hAnsiTheme="minorHAnsi" w:cstheme="minorHAnsi"/>
                <w:sz w:val="19"/>
                <w:szCs w:val="19"/>
              </w:rPr>
              <w:t xml:space="preserve"> the principles of contract law — including formation, essential clauses, e-contracts and remedies for breach — to draft and critically review legally sound business agreements such as NDAs, service contracts and SaaS agreements.</w:t>
            </w:r>
          </w:p>
        </w:tc>
        <w:tc>
          <w:tcPr>
            <w:tcW w:w="1672" w:type="dxa"/>
            <w:tcMar>
              <w:top w:w="80" w:type="dxa"/>
              <w:left w:w="100" w:type="dxa"/>
              <w:bottom w:w="80" w:type="dxa"/>
              <w:right w:w="100" w:type="dxa"/>
            </w:tcMar>
            <w:vAlign w:val="center"/>
          </w:tcPr>
          <w:p w14:paraId="4B7E35E1" w14:textId="2B8F64AE" w:rsidR="00243A6E" w:rsidRPr="00243A6E" w:rsidRDefault="00243A6E" w:rsidP="00243A6E">
            <w:pPr>
              <w:jc w:val="center"/>
              <w:rPr>
                <w:rFonts w:asciiTheme="minorHAnsi" w:hAnsiTheme="minorHAnsi" w:cstheme="minorHAnsi"/>
                <w:b/>
                <w:bCs/>
                <w:sz w:val="19"/>
                <w:szCs w:val="19"/>
              </w:rPr>
            </w:pPr>
            <w:r w:rsidRPr="00243A6E">
              <w:rPr>
                <w:rFonts w:asciiTheme="minorHAnsi" w:hAnsiTheme="minorHAnsi" w:cstheme="minorHAnsi"/>
                <w:b/>
                <w:bCs/>
                <w:sz w:val="19"/>
                <w:szCs w:val="19"/>
              </w:rPr>
              <w:t>Application</w:t>
            </w:r>
          </w:p>
        </w:tc>
        <w:tc>
          <w:tcPr>
            <w:tcW w:w="629" w:type="dxa"/>
            <w:tcMar>
              <w:top w:w="80" w:type="dxa"/>
              <w:left w:w="40" w:type="dxa"/>
              <w:bottom w:w="80" w:type="dxa"/>
              <w:right w:w="40" w:type="dxa"/>
            </w:tcMar>
            <w:vAlign w:val="center"/>
          </w:tcPr>
          <w:p w14:paraId="43E5E7B5" w14:textId="67F06DC0" w:rsidR="00243A6E" w:rsidRPr="00243A6E" w:rsidRDefault="00243A6E" w:rsidP="00243A6E">
            <w:pPr>
              <w:jc w:val="center"/>
              <w:rPr>
                <w:rFonts w:asciiTheme="minorHAnsi" w:hAnsiTheme="minorHAnsi" w:cstheme="minorHAnsi"/>
                <w:b/>
                <w:bCs/>
                <w:sz w:val="19"/>
                <w:szCs w:val="19"/>
              </w:rPr>
            </w:pPr>
            <w:r w:rsidRPr="00243A6E">
              <w:rPr>
                <w:rFonts w:asciiTheme="minorHAnsi" w:hAnsiTheme="minorHAnsi" w:cstheme="minorHAnsi"/>
                <w:b/>
                <w:bCs/>
                <w:sz w:val="19"/>
                <w:szCs w:val="19"/>
              </w:rPr>
              <w:t>3</w:t>
            </w:r>
          </w:p>
        </w:tc>
        <w:tc>
          <w:tcPr>
            <w:tcW w:w="629" w:type="dxa"/>
            <w:tcMar>
              <w:top w:w="80" w:type="dxa"/>
              <w:left w:w="40" w:type="dxa"/>
              <w:bottom w:w="80" w:type="dxa"/>
              <w:right w:w="40" w:type="dxa"/>
            </w:tcMar>
            <w:vAlign w:val="center"/>
          </w:tcPr>
          <w:p w14:paraId="65F6E4F7" w14:textId="1AE6334F" w:rsidR="00243A6E" w:rsidRPr="00243A6E" w:rsidRDefault="00243A6E" w:rsidP="00243A6E">
            <w:pPr>
              <w:jc w:val="center"/>
              <w:rPr>
                <w:rFonts w:asciiTheme="minorHAnsi" w:hAnsiTheme="minorHAnsi" w:cstheme="minorHAnsi"/>
                <w:b/>
                <w:bCs/>
                <w:sz w:val="19"/>
                <w:szCs w:val="19"/>
              </w:rPr>
            </w:pPr>
            <w:r w:rsidRPr="00243A6E">
              <w:rPr>
                <w:rFonts w:asciiTheme="minorHAnsi" w:hAnsiTheme="minorHAnsi" w:cstheme="minorHAnsi"/>
                <w:b/>
                <w:bCs/>
                <w:sz w:val="19"/>
                <w:szCs w:val="19"/>
              </w:rPr>
              <w:t>2</w:t>
            </w:r>
          </w:p>
        </w:tc>
        <w:tc>
          <w:tcPr>
            <w:tcW w:w="629" w:type="dxa"/>
            <w:tcMar>
              <w:top w:w="80" w:type="dxa"/>
              <w:left w:w="40" w:type="dxa"/>
              <w:bottom w:w="80" w:type="dxa"/>
              <w:right w:w="40" w:type="dxa"/>
            </w:tcMar>
            <w:vAlign w:val="center"/>
          </w:tcPr>
          <w:p w14:paraId="4BBACC3E" w14:textId="378E1522" w:rsidR="00243A6E" w:rsidRPr="00243A6E" w:rsidRDefault="00243A6E" w:rsidP="00243A6E">
            <w:pPr>
              <w:jc w:val="center"/>
              <w:rPr>
                <w:rFonts w:asciiTheme="minorHAnsi" w:hAnsiTheme="minorHAnsi" w:cstheme="minorHAnsi"/>
                <w:b/>
                <w:bCs/>
                <w:sz w:val="19"/>
                <w:szCs w:val="19"/>
              </w:rPr>
            </w:pPr>
            <w:r w:rsidRPr="00243A6E">
              <w:rPr>
                <w:rFonts w:asciiTheme="minorHAnsi" w:hAnsiTheme="minorHAnsi" w:cstheme="minorHAnsi"/>
                <w:b/>
                <w:bCs/>
                <w:sz w:val="19"/>
                <w:szCs w:val="19"/>
              </w:rPr>
              <w:t>–</w:t>
            </w:r>
          </w:p>
        </w:tc>
        <w:tc>
          <w:tcPr>
            <w:tcW w:w="629" w:type="dxa"/>
            <w:tcMar>
              <w:top w:w="80" w:type="dxa"/>
              <w:left w:w="40" w:type="dxa"/>
              <w:bottom w:w="80" w:type="dxa"/>
              <w:right w:w="40" w:type="dxa"/>
            </w:tcMar>
            <w:vAlign w:val="center"/>
          </w:tcPr>
          <w:p w14:paraId="583A51AB" w14:textId="4655D5D9" w:rsidR="00243A6E" w:rsidRPr="00243A6E" w:rsidRDefault="00243A6E" w:rsidP="00243A6E">
            <w:pPr>
              <w:jc w:val="center"/>
              <w:rPr>
                <w:rFonts w:asciiTheme="minorHAnsi" w:hAnsiTheme="minorHAnsi" w:cstheme="minorHAnsi"/>
                <w:b/>
                <w:bCs/>
                <w:sz w:val="19"/>
                <w:szCs w:val="19"/>
              </w:rPr>
            </w:pPr>
            <w:r w:rsidRPr="00243A6E">
              <w:rPr>
                <w:rFonts w:asciiTheme="minorHAnsi" w:hAnsiTheme="minorHAnsi" w:cstheme="minorHAnsi"/>
                <w:b/>
                <w:bCs/>
                <w:sz w:val="19"/>
                <w:szCs w:val="19"/>
              </w:rPr>
              <w:t>1</w:t>
            </w:r>
          </w:p>
        </w:tc>
        <w:tc>
          <w:tcPr>
            <w:tcW w:w="629" w:type="dxa"/>
            <w:tcMar>
              <w:top w:w="80" w:type="dxa"/>
              <w:left w:w="40" w:type="dxa"/>
              <w:bottom w:w="80" w:type="dxa"/>
              <w:right w:w="40" w:type="dxa"/>
            </w:tcMar>
            <w:vAlign w:val="center"/>
          </w:tcPr>
          <w:p w14:paraId="505C0395" w14:textId="396BD8F5" w:rsidR="00243A6E" w:rsidRPr="00243A6E" w:rsidRDefault="00243A6E" w:rsidP="00243A6E">
            <w:pPr>
              <w:jc w:val="center"/>
              <w:rPr>
                <w:rFonts w:asciiTheme="minorHAnsi" w:hAnsiTheme="minorHAnsi" w:cstheme="minorHAnsi"/>
                <w:b/>
                <w:bCs/>
                <w:sz w:val="19"/>
                <w:szCs w:val="19"/>
              </w:rPr>
            </w:pPr>
            <w:r w:rsidRPr="00243A6E">
              <w:rPr>
                <w:rFonts w:asciiTheme="minorHAnsi" w:hAnsiTheme="minorHAnsi" w:cstheme="minorHAnsi"/>
                <w:b/>
                <w:bCs/>
                <w:sz w:val="19"/>
                <w:szCs w:val="19"/>
              </w:rPr>
              <w:t>–</w:t>
            </w:r>
          </w:p>
        </w:tc>
      </w:tr>
      <w:tr w:rsidR="00243A6E" w14:paraId="43E7F368" w14:textId="77777777" w:rsidTr="00696E34">
        <w:tc>
          <w:tcPr>
            <w:tcW w:w="534" w:type="dxa"/>
            <w:tcMar>
              <w:top w:w="80" w:type="dxa"/>
              <w:left w:w="80" w:type="dxa"/>
              <w:bottom w:w="80" w:type="dxa"/>
              <w:right w:w="80" w:type="dxa"/>
            </w:tcMar>
            <w:vAlign w:val="center"/>
          </w:tcPr>
          <w:p w14:paraId="741C8441" w14:textId="77777777" w:rsidR="00243A6E" w:rsidRDefault="00243A6E" w:rsidP="00243A6E">
            <w:pPr>
              <w:jc w:val="center"/>
            </w:pPr>
            <w:r>
              <w:rPr>
                <w:b/>
                <w:bCs/>
                <w:color w:val="1B3A6B"/>
              </w:rPr>
              <w:t>3</w:t>
            </w:r>
          </w:p>
        </w:tc>
        <w:tc>
          <w:tcPr>
            <w:tcW w:w="4355" w:type="dxa"/>
            <w:tcMar>
              <w:top w:w="80" w:type="dxa"/>
              <w:left w:w="120" w:type="dxa"/>
              <w:bottom w:w="80" w:type="dxa"/>
              <w:right w:w="120" w:type="dxa"/>
            </w:tcMar>
            <w:vAlign w:val="center"/>
          </w:tcPr>
          <w:p w14:paraId="050A9BF1" w14:textId="336326E3" w:rsidR="00243A6E" w:rsidRPr="00243A6E" w:rsidRDefault="00243A6E" w:rsidP="00243A6E">
            <w:pPr>
              <w:rPr>
                <w:rFonts w:asciiTheme="minorHAnsi" w:hAnsiTheme="minorHAnsi" w:cstheme="minorHAnsi"/>
                <w:sz w:val="19"/>
                <w:szCs w:val="19"/>
              </w:rPr>
            </w:pPr>
            <w:r w:rsidRPr="00243A6E">
              <w:rPr>
                <w:rFonts w:asciiTheme="minorHAnsi" w:hAnsiTheme="minorHAnsi" w:cstheme="minorHAnsi"/>
                <w:b/>
                <w:bCs/>
                <w:i/>
                <w:iCs/>
                <w:sz w:val="19"/>
                <w:szCs w:val="19"/>
              </w:rPr>
              <w:t>Analyse</w:t>
            </w:r>
            <w:r w:rsidRPr="00243A6E">
              <w:rPr>
                <w:rFonts w:asciiTheme="minorHAnsi" w:hAnsiTheme="minorHAnsi" w:cstheme="minorHAnsi"/>
                <w:sz w:val="19"/>
                <w:szCs w:val="19"/>
              </w:rPr>
              <w:t xml:space="preserve"> rights, obligations and risk allocation under the Sale of Goods Act, the Negotiable Instruments Act, and partnership/LLP frameworks to support transaction structuring and business-entity selection decisions.</w:t>
            </w:r>
          </w:p>
        </w:tc>
        <w:tc>
          <w:tcPr>
            <w:tcW w:w="1672" w:type="dxa"/>
            <w:tcMar>
              <w:top w:w="80" w:type="dxa"/>
              <w:left w:w="100" w:type="dxa"/>
              <w:bottom w:w="80" w:type="dxa"/>
              <w:right w:w="100" w:type="dxa"/>
            </w:tcMar>
            <w:vAlign w:val="center"/>
          </w:tcPr>
          <w:p w14:paraId="030D1671" w14:textId="34A1AD68" w:rsidR="00243A6E" w:rsidRPr="00243A6E" w:rsidRDefault="00243A6E" w:rsidP="00243A6E">
            <w:pPr>
              <w:jc w:val="center"/>
              <w:rPr>
                <w:rFonts w:asciiTheme="minorHAnsi" w:hAnsiTheme="minorHAnsi" w:cstheme="minorHAnsi"/>
                <w:b/>
                <w:bCs/>
                <w:sz w:val="19"/>
                <w:szCs w:val="19"/>
              </w:rPr>
            </w:pPr>
            <w:r w:rsidRPr="00243A6E">
              <w:rPr>
                <w:rFonts w:asciiTheme="minorHAnsi" w:hAnsiTheme="minorHAnsi" w:cstheme="minorHAnsi"/>
                <w:b/>
                <w:bCs/>
                <w:sz w:val="19"/>
                <w:szCs w:val="19"/>
              </w:rPr>
              <w:t>Analysis</w:t>
            </w:r>
          </w:p>
        </w:tc>
        <w:tc>
          <w:tcPr>
            <w:tcW w:w="629" w:type="dxa"/>
            <w:tcMar>
              <w:top w:w="80" w:type="dxa"/>
              <w:left w:w="40" w:type="dxa"/>
              <w:bottom w:w="80" w:type="dxa"/>
              <w:right w:w="40" w:type="dxa"/>
            </w:tcMar>
            <w:vAlign w:val="center"/>
          </w:tcPr>
          <w:p w14:paraId="28228EC5" w14:textId="700A0884" w:rsidR="00243A6E" w:rsidRPr="00243A6E" w:rsidRDefault="00243A6E" w:rsidP="00243A6E">
            <w:pPr>
              <w:jc w:val="center"/>
              <w:rPr>
                <w:rFonts w:asciiTheme="minorHAnsi" w:hAnsiTheme="minorHAnsi" w:cstheme="minorHAnsi"/>
                <w:b/>
                <w:bCs/>
                <w:sz w:val="19"/>
                <w:szCs w:val="19"/>
              </w:rPr>
            </w:pPr>
            <w:r w:rsidRPr="00243A6E">
              <w:rPr>
                <w:rFonts w:asciiTheme="minorHAnsi" w:hAnsiTheme="minorHAnsi" w:cstheme="minorHAnsi"/>
                <w:b/>
                <w:bCs/>
                <w:sz w:val="19"/>
                <w:szCs w:val="19"/>
              </w:rPr>
              <w:t>2</w:t>
            </w:r>
          </w:p>
        </w:tc>
        <w:tc>
          <w:tcPr>
            <w:tcW w:w="629" w:type="dxa"/>
            <w:tcMar>
              <w:top w:w="80" w:type="dxa"/>
              <w:left w:w="40" w:type="dxa"/>
              <w:bottom w:w="80" w:type="dxa"/>
              <w:right w:w="40" w:type="dxa"/>
            </w:tcMar>
            <w:vAlign w:val="center"/>
          </w:tcPr>
          <w:p w14:paraId="50CBEB5E" w14:textId="2AE9C67D" w:rsidR="00243A6E" w:rsidRPr="00243A6E" w:rsidRDefault="00243A6E" w:rsidP="00243A6E">
            <w:pPr>
              <w:jc w:val="center"/>
              <w:rPr>
                <w:rFonts w:asciiTheme="minorHAnsi" w:hAnsiTheme="minorHAnsi" w:cstheme="minorHAnsi"/>
                <w:b/>
                <w:bCs/>
                <w:sz w:val="19"/>
                <w:szCs w:val="19"/>
              </w:rPr>
            </w:pPr>
            <w:r w:rsidRPr="00243A6E">
              <w:rPr>
                <w:rFonts w:asciiTheme="minorHAnsi" w:hAnsiTheme="minorHAnsi" w:cstheme="minorHAnsi"/>
                <w:b/>
                <w:bCs/>
                <w:sz w:val="19"/>
                <w:szCs w:val="19"/>
              </w:rPr>
              <w:t>3</w:t>
            </w:r>
          </w:p>
        </w:tc>
        <w:tc>
          <w:tcPr>
            <w:tcW w:w="629" w:type="dxa"/>
            <w:tcMar>
              <w:top w:w="80" w:type="dxa"/>
              <w:left w:w="40" w:type="dxa"/>
              <w:bottom w:w="80" w:type="dxa"/>
              <w:right w:w="40" w:type="dxa"/>
            </w:tcMar>
            <w:vAlign w:val="center"/>
          </w:tcPr>
          <w:p w14:paraId="3A1150C9" w14:textId="24884C8B" w:rsidR="00243A6E" w:rsidRPr="00243A6E" w:rsidRDefault="00243A6E" w:rsidP="00243A6E">
            <w:pPr>
              <w:jc w:val="center"/>
              <w:rPr>
                <w:rFonts w:asciiTheme="minorHAnsi" w:hAnsiTheme="minorHAnsi" w:cstheme="minorHAnsi"/>
                <w:b/>
                <w:bCs/>
                <w:sz w:val="19"/>
                <w:szCs w:val="19"/>
              </w:rPr>
            </w:pPr>
            <w:r w:rsidRPr="00243A6E">
              <w:rPr>
                <w:rFonts w:asciiTheme="minorHAnsi" w:hAnsiTheme="minorHAnsi" w:cstheme="minorHAnsi"/>
                <w:b/>
                <w:bCs/>
                <w:sz w:val="19"/>
                <w:szCs w:val="19"/>
              </w:rPr>
              <w:t>–</w:t>
            </w:r>
          </w:p>
        </w:tc>
        <w:tc>
          <w:tcPr>
            <w:tcW w:w="629" w:type="dxa"/>
            <w:tcMar>
              <w:top w:w="80" w:type="dxa"/>
              <w:left w:w="40" w:type="dxa"/>
              <w:bottom w:w="80" w:type="dxa"/>
              <w:right w:w="40" w:type="dxa"/>
            </w:tcMar>
            <w:vAlign w:val="center"/>
          </w:tcPr>
          <w:p w14:paraId="45550E7A" w14:textId="73D1B5E5" w:rsidR="00243A6E" w:rsidRPr="00243A6E" w:rsidRDefault="00243A6E" w:rsidP="00243A6E">
            <w:pPr>
              <w:jc w:val="center"/>
              <w:rPr>
                <w:rFonts w:asciiTheme="minorHAnsi" w:hAnsiTheme="minorHAnsi" w:cstheme="minorHAnsi"/>
                <w:b/>
                <w:bCs/>
                <w:sz w:val="19"/>
                <w:szCs w:val="19"/>
              </w:rPr>
            </w:pPr>
            <w:r w:rsidRPr="00243A6E">
              <w:rPr>
                <w:rFonts w:asciiTheme="minorHAnsi" w:hAnsiTheme="minorHAnsi" w:cstheme="minorHAnsi"/>
                <w:b/>
                <w:bCs/>
                <w:sz w:val="19"/>
                <w:szCs w:val="19"/>
              </w:rPr>
              <w:t>–</w:t>
            </w:r>
          </w:p>
        </w:tc>
        <w:tc>
          <w:tcPr>
            <w:tcW w:w="629" w:type="dxa"/>
            <w:tcMar>
              <w:top w:w="80" w:type="dxa"/>
              <w:left w:w="40" w:type="dxa"/>
              <w:bottom w:w="80" w:type="dxa"/>
              <w:right w:w="40" w:type="dxa"/>
            </w:tcMar>
            <w:vAlign w:val="center"/>
          </w:tcPr>
          <w:p w14:paraId="6B1947E4" w14:textId="4A984CAF" w:rsidR="00243A6E" w:rsidRPr="00243A6E" w:rsidRDefault="00243A6E" w:rsidP="00243A6E">
            <w:pPr>
              <w:jc w:val="center"/>
              <w:rPr>
                <w:rFonts w:asciiTheme="minorHAnsi" w:hAnsiTheme="minorHAnsi" w:cstheme="minorHAnsi"/>
                <w:b/>
                <w:bCs/>
                <w:sz w:val="19"/>
                <w:szCs w:val="19"/>
              </w:rPr>
            </w:pPr>
            <w:r w:rsidRPr="00243A6E">
              <w:rPr>
                <w:rFonts w:asciiTheme="minorHAnsi" w:hAnsiTheme="minorHAnsi" w:cstheme="minorHAnsi"/>
                <w:b/>
                <w:bCs/>
                <w:sz w:val="19"/>
                <w:szCs w:val="19"/>
              </w:rPr>
              <w:t>–</w:t>
            </w:r>
          </w:p>
        </w:tc>
      </w:tr>
      <w:tr w:rsidR="00243A6E" w14:paraId="3678A845" w14:textId="77777777" w:rsidTr="00696E34">
        <w:tc>
          <w:tcPr>
            <w:tcW w:w="534" w:type="dxa"/>
            <w:tcMar>
              <w:top w:w="80" w:type="dxa"/>
              <w:left w:w="80" w:type="dxa"/>
              <w:bottom w:w="80" w:type="dxa"/>
              <w:right w:w="80" w:type="dxa"/>
            </w:tcMar>
            <w:vAlign w:val="center"/>
          </w:tcPr>
          <w:p w14:paraId="3471C71B" w14:textId="77777777" w:rsidR="00243A6E" w:rsidRDefault="00243A6E" w:rsidP="00243A6E">
            <w:pPr>
              <w:jc w:val="center"/>
            </w:pPr>
            <w:r>
              <w:rPr>
                <w:b/>
                <w:bCs/>
                <w:color w:val="1B3A6B"/>
              </w:rPr>
              <w:t>4</w:t>
            </w:r>
          </w:p>
        </w:tc>
        <w:tc>
          <w:tcPr>
            <w:tcW w:w="4355" w:type="dxa"/>
            <w:tcMar>
              <w:top w:w="80" w:type="dxa"/>
              <w:left w:w="120" w:type="dxa"/>
              <w:bottom w:w="80" w:type="dxa"/>
              <w:right w:w="120" w:type="dxa"/>
            </w:tcMar>
            <w:vAlign w:val="center"/>
          </w:tcPr>
          <w:p w14:paraId="0BF026FC" w14:textId="5398996D" w:rsidR="00243A6E" w:rsidRPr="00243A6E" w:rsidRDefault="00243A6E" w:rsidP="00243A6E">
            <w:pPr>
              <w:rPr>
                <w:rFonts w:asciiTheme="minorHAnsi" w:hAnsiTheme="minorHAnsi" w:cstheme="minorHAnsi"/>
                <w:sz w:val="19"/>
                <w:szCs w:val="19"/>
              </w:rPr>
            </w:pPr>
            <w:r w:rsidRPr="00243A6E">
              <w:rPr>
                <w:rFonts w:asciiTheme="minorHAnsi" w:hAnsiTheme="minorHAnsi" w:cstheme="minorHAnsi"/>
                <w:b/>
                <w:bCs/>
                <w:i/>
                <w:iCs/>
                <w:sz w:val="19"/>
                <w:szCs w:val="19"/>
              </w:rPr>
              <w:t>Evaluate</w:t>
            </w:r>
            <w:r w:rsidRPr="00243A6E">
              <w:rPr>
                <w:rFonts w:asciiTheme="minorHAnsi" w:hAnsiTheme="minorHAnsi" w:cstheme="minorHAnsi"/>
                <w:sz w:val="19"/>
                <w:szCs w:val="19"/>
              </w:rPr>
              <w:t xml:space="preserve"> corporate governance frameworks, M&amp;A structures and competition law compliance requirements to assess legal, financial and reputational risk in corporate decision-making.</w:t>
            </w:r>
          </w:p>
        </w:tc>
        <w:tc>
          <w:tcPr>
            <w:tcW w:w="1672" w:type="dxa"/>
            <w:tcMar>
              <w:top w:w="80" w:type="dxa"/>
              <w:left w:w="100" w:type="dxa"/>
              <w:bottom w:w="80" w:type="dxa"/>
              <w:right w:w="100" w:type="dxa"/>
            </w:tcMar>
            <w:vAlign w:val="center"/>
          </w:tcPr>
          <w:p w14:paraId="171452AA" w14:textId="79187AF7" w:rsidR="00243A6E" w:rsidRPr="00243A6E" w:rsidRDefault="00243A6E" w:rsidP="00243A6E">
            <w:pPr>
              <w:jc w:val="center"/>
              <w:rPr>
                <w:rFonts w:asciiTheme="minorHAnsi" w:hAnsiTheme="minorHAnsi" w:cstheme="minorHAnsi"/>
                <w:b/>
                <w:bCs/>
                <w:sz w:val="19"/>
                <w:szCs w:val="19"/>
              </w:rPr>
            </w:pPr>
            <w:r w:rsidRPr="00243A6E">
              <w:rPr>
                <w:rFonts w:asciiTheme="minorHAnsi" w:hAnsiTheme="minorHAnsi" w:cstheme="minorHAnsi"/>
                <w:b/>
                <w:bCs/>
                <w:sz w:val="19"/>
                <w:szCs w:val="19"/>
              </w:rPr>
              <w:t>Evaluation</w:t>
            </w:r>
          </w:p>
        </w:tc>
        <w:tc>
          <w:tcPr>
            <w:tcW w:w="629" w:type="dxa"/>
            <w:tcMar>
              <w:top w:w="80" w:type="dxa"/>
              <w:left w:w="40" w:type="dxa"/>
              <w:bottom w:w="80" w:type="dxa"/>
              <w:right w:w="40" w:type="dxa"/>
            </w:tcMar>
            <w:vAlign w:val="center"/>
          </w:tcPr>
          <w:p w14:paraId="01B3F151" w14:textId="11C789A6" w:rsidR="00243A6E" w:rsidRPr="00243A6E" w:rsidRDefault="00243A6E" w:rsidP="00243A6E">
            <w:pPr>
              <w:jc w:val="center"/>
              <w:rPr>
                <w:rFonts w:asciiTheme="minorHAnsi" w:hAnsiTheme="minorHAnsi" w:cstheme="minorHAnsi"/>
                <w:b/>
                <w:bCs/>
                <w:sz w:val="19"/>
                <w:szCs w:val="19"/>
              </w:rPr>
            </w:pPr>
            <w:r w:rsidRPr="00243A6E">
              <w:rPr>
                <w:rFonts w:asciiTheme="minorHAnsi" w:hAnsiTheme="minorHAnsi" w:cstheme="minorHAnsi"/>
                <w:b/>
                <w:bCs/>
                <w:sz w:val="19"/>
                <w:szCs w:val="19"/>
              </w:rPr>
              <w:t>–</w:t>
            </w:r>
          </w:p>
        </w:tc>
        <w:tc>
          <w:tcPr>
            <w:tcW w:w="629" w:type="dxa"/>
            <w:tcMar>
              <w:top w:w="80" w:type="dxa"/>
              <w:left w:w="40" w:type="dxa"/>
              <w:bottom w:w="80" w:type="dxa"/>
              <w:right w:w="40" w:type="dxa"/>
            </w:tcMar>
            <w:vAlign w:val="center"/>
          </w:tcPr>
          <w:p w14:paraId="6F3D74AF" w14:textId="0C583575" w:rsidR="00243A6E" w:rsidRPr="00243A6E" w:rsidRDefault="00243A6E" w:rsidP="00243A6E">
            <w:pPr>
              <w:jc w:val="center"/>
              <w:rPr>
                <w:rFonts w:asciiTheme="minorHAnsi" w:hAnsiTheme="minorHAnsi" w:cstheme="minorHAnsi"/>
                <w:b/>
                <w:bCs/>
                <w:sz w:val="19"/>
                <w:szCs w:val="19"/>
              </w:rPr>
            </w:pPr>
            <w:r w:rsidRPr="00243A6E">
              <w:rPr>
                <w:rFonts w:asciiTheme="minorHAnsi" w:hAnsiTheme="minorHAnsi" w:cstheme="minorHAnsi"/>
                <w:b/>
                <w:bCs/>
                <w:sz w:val="19"/>
                <w:szCs w:val="19"/>
              </w:rPr>
              <w:t>3</w:t>
            </w:r>
          </w:p>
        </w:tc>
        <w:tc>
          <w:tcPr>
            <w:tcW w:w="629" w:type="dxa"/>
            <w:tcMar>
              <w:top w:w="80" w:type="dxa"/>
              <w:left w:w="40" w:type="dxa"/>
              <w:bottom w:w="80" w:type="dxa"/>
              <w:right w:w="40" w:type="dxa"/>
            </w:tcMar>
            <w:vAlign w:val="center"/>
          </w:tcPr>
          <w:p w14:paraId="23B249A0" w14:textId="4BABEDDE" w:rsidR="00243A6E" w:rsidRPr="00243A6E" w:rsidRDefault="00243A6E" w:rsidP="00243A6E">
            <w:pPr>
              <w:jc w:val="center"/>
              <w:rPr>
                <w:rFonts w:asciiTheme="minorHAnsi" w:hAnsiTheme="minorHAnsi" w:cstheme="minorHAnsi"/>
                <w:b/>
                <w:bCs/>
                <w:sz w:val="19"/>
                <w:szCs w:val="19"/>
              </w:rPr>
            </w:pPr>
            <w:r w:rsidRPr="00243A6E">
              <w:rPr>
                <w:rFonts w:asciiTheme="minorHAnsi" w:hAnsiTheme="minorHAnsi" w:cstheme="minorHAnsi"/>
                <w:b/>
                <w:bCs/>
                <w:sz w:val="19"/>
                <w:szCs w:val="19"/>
              </w:rPr>
              <w:t>1</w:t>
            </w:r>
          </w:p>
        </w:tc>
        <w:tc>
          <w:tcPr>
            <w:tcW w:w="629" w:type="dxa"/>
            <w:tcMar>
              <w:top w:w="80" w:type="dxa"/>
              <w:left w:w="40" w:type="dxa"/>
              <w:bottom w:w="80" w:type="dxa"/>
              <w:right w:w="40" w:type="dxa"/>
            </w:tcMar>
            <w:vAlign w:val="center"/>
          </w:tcPr>
          <w:p w14:paraId="09BF46D6" w14:textId="7D05B6B1" w:rsidR="00243A6E" w:rsidRPr="00243A6E" w:rsidRDefault="00243A6E" w:rsidP="00243A6E">
            <w:pPr>
              <w:jc w:val="center"/>
              <w:rPr>
                <w:rFonts w:asciiTheme="minorHAnsi" w:hAnsiTheme="minorHAnsi" w:cstheme="minorHAnsi"/>
                <w:b/>
                <w:bCs/>
                <w:sz w:val="19"/>
                <w:szCs w:val="19"/>
              </w:rPr>
            </w:pPr>
            <w:r w:rsidRPr="00243A6E">
              <w:rPr>
                <w:rFonts w:asciiTheme="minorHAnsi" w:hAnsiTheme="minorHAnsi" w:cstheme="minorHAnsi"/>
                <w:b/>
                <w:bCs/>
                <w:sz w:val="19"/>
                <w:szCs w:val="19"/>
              </w:rPr>
              <w:t>2</w:t>
            </w:r>
          </w:p>
        </w:tc>
        <w:tc>
          <w:tcPr>
            <w:tcW w:w="629" w:type="dxa"/>
            <w:tcMar>
              <w:top w:w="80" w:type="dxa"/>
              <w:left w:w="40" w:type="dxa"/>
              <w:bottom w:w="80" w:type="dxa"/>
              <w:right w:w="40" w:type="dxa"/>
            </w:tcMar>
            <w:vAlign w:val="center"/>
          </w:tcPr>
          <w:p w14:paraId="0A0D2CB4" w14:textId="01F49222" w:rsidR="00243A6E" w:rsidRPr="00243A6E" w:rsidRDefault="00243A6E" w:rsidP="00243A6E">
            <w:pPr>
              <w:jc w:val="center"/>
              <w:rPr>
                <w:rFonts w:asciiTheme="minorHAnsi" w:hAnsiTheme="minorHAnsi" w:cstheme="minorHAnsi"/>
                <w:b/>
                <w:bCs/>
                <w:sz w:val="19"/>
                <w:szCs w:val="19"/>
              </w:rPr>
            </w:pPr>
            <w:r w:rsidRPr="00243A6E">
              <w:rPr>
                <w:rFonts w:asciiTheme="minorHAnsi" w:hAnsiTheme="minorHAnsi" w:cstheme="minorHAnsi"/>
                <w:b/>
                <w:bCs/>
                <w:sz w:val="19"/>
                <w:szCs w:val="19"/>
              </w:rPr>
              <w:t>–</w:t>
            </w:r>
          </w:p>
        </w:tc>
      </w:tr>
      <w:tr w:rsidR="00243A6E" w14:paraId="22783546" w14:textId="77777777" w:rsidTr="00696E34">
        <w:tc>
          <w:tcPr>
            <w:tcW w:w="534" w:type="dxa"/>
            <w:tcMar>
              <w:top w:w="80" w:type="dxa"/>
              <w:left w:w="80" w:type="dxa"/>
              <w:bottom w:w="80" w:type="dxa"/>
              <w:right w:w="80" w:type="dxa"/>
            </w:tcMar>
            <w:vAlign w:val="center"/>
          </w:tcPr>
          <w:p w14:paraId="4DDC1F5B" w14:textId="77777777" w:rsidR="00243A6E" w:rsidRDefault="00243A6E" w:rsidP="00243A6E">
            <w:pPr>
              <w:jc w:val="center"/>
            </w:pPr>
            <w:r>
              <w:rPr>
                <w:b/>
                <w:bCs/>
                <w:color w:val="1B3A6B"/>
              </w:rPr>
              <w:t>5</w:t>
            </w:r>
          </w:p>
        </w:tc>
        <w:tc>
          <w:tcPr>
            <w:tcW w:w="4355" w:type="dxa"/>
            <w:tcMar>
              <w:top w:w="80" w:type="dxa"/>
              <w:left w:w="120" w:type="dxa"/>
              <w:bottom w:w="80" w:type="dxa"/>
              <w:right w:w="120" w:type="dxa"/>
            </w:tcMar>
            <w:vAlign w:val="center"/>
          </w:tcPr>
          <w:p w14:paraId="10ABBA0E" w14:textId="3B1DDDE1" w:rsidR="00243A6E" w:rsidRPr="00243A6E" w:rsidRDefault="00243A6E" w:rsidP="00243A6E">
            <w:pPr>
              <w:rPr>
                <w:rFonts w:asciiTheme="minorHAnsi" w:hAnsiTheme="minorHAnsi" w:cstheme="minorHAnsi"/>
                <w:sz w:val="19"/>
                <w:szCs w:val="19"/>
              </w:rPr>
            </w:pPr>
            <w:r w:rsidRPr="00243A6E">
              <w:rPr>
                <w:rFonts w:asciiTheme="minorHAnsi" w:hAnsiTheme="minorHAnsi" w:cstheme="minorHAnsi"/>
                <w:b/>
                <w:bCs/>
                <w:i/>
                <w:iCs/>
                <w:sz w:val="19"/>
                <w:szCs w:val="19"/>
              </w:rPr>
              <w:t>Assess</w:t>
            </w:r>
            <w:r w:rsidRPr="00243A6E">
              <w:rPr>
                <w:rFonts w:asciiTheme="minorHAnsi" w:hAnsiTheme="minorHAnsi" w:cstheme="minorHAnsi"/>
                <w:sz w:val="19"/>
                <w:szCs w:val="19"/>
              </w:rPr>
              <w:t xml:space="preserve"> data protection, consumer protection, intellectual property and international trade regulations to formulate compliant digital, marketing and global business strategies.</w:t>
            </w:r>
          </w:p>
        </w:tc>
        <w:tc>
          <w:tcPr>
            <w:tcW w:w="1672" w:type="dxa"/>
            <w:tcMar>
              <w:top w:w="80" w:type="dxa"/>
              <w:left w:w="100" w:type="dxa"/>
              <w:bottom w:w="80" w:type="dxa"/>
              <w:right w:w="100" w:type="dxa"/>
            </w:tcMar>
            <w:vAlign w:val="center"/>
          </w:tcPr>
          <w:p w14:paraId="270D7651" w14:textId="1B9E974E" w:rsidR="00243A6E" w:rsidRPr="00243A6E" w:rsidRDefault="00243A6E" w:rsidP="00243A6E">
            <w:pPr>
              <w:jc w:val="center"/>
              <w:rPr>
                <w:rFonts w:asciiTheme="minorHAnsi" w:hAnsiTheme="minorHAnsi" w:cstheme="minorHAnsi"/>
                <w:b/>
                <w:bCs/>
                <w:sz w:val="19"/>
                <w:szCs w:val="19"/>
              </w:rPr>
            </w:pPr>
            <w:r w:rsidRPr="00243A6E">
              <w:rPr>
                <w:rFonts w:asciiTheme="minorHAnsi" w:hAnsiTheme="minorHAnsi" w:cstheme="minorHAnsi"/>
                <w:b/>
                <w:bCs/>
                <w:sz w:val="19"/>
                <w:szCs w:val="19"/>
              </w:rPr>
              <w:t>Evaluation</w:t>
            </w:r>
          </w:p>
        </w:tc>
        <w:tc>
          <w:tcPr>
            <w:tcW w:w="629" w:type="dxa"/>
            <w:tcMar>
              <w:top w:w="80" w:type="dxa"/>
              <w:left w:w="40" w:type="dxa"/>
              <w:bottom w:w="80" w:type="dxa"/>
              <w:right w:w="40" w:type="dxa"/>
            </w:tcMar>
            <w:vAlign w:val="center"/>
          </w:tcPr>
          <w:p w14:paraId="4A80C2FD" w14:textId="014071A6" w:rsidR="00243A6E" w:rsidRPr="00243A6E" w:rsidRDefault="00243A6E" w:rsidP="00243A6E">
            <w:pPr>
              <w:jc w:val="center"/>
              <w:rPr>
                <w:rFonts w:asciiTheme="minorHAnsi" w:hAnsiTheme="minorHAnsi" w:cstheme="minorHAnsi"/>
                <w:b/>
                <w:bCs/>
                <w:sz w:val="19"/>
                <w:szCs w:val="19"/>
              </w:rPr>
            </w:pPr>
            <w:r w:rsidRPr="00243A6E">
              <w:rPr>
                <w:rFonts w:asciiTheme="minorHAnsi" w:hAnsiTheme="minorHAnsi" w:cstheme="minorHAnsi"/>
                <w:b/>
                <w:bCs/>
                <w:sz w:val="19"/>
                <w:szCs w:val="19"/>
              </w:rPr>
              <w:t>–</w:t>
            </w:r>
          </w:p>
        </w:tc>
        <w:tc>
          <w:tcPr>
            <w:tcW w:w="629" w:type="dxa"/>
            <w:tcMar>
              <w:top w:w="80" w:type="dxa"/>
              <w:left w:w="40" w:type="dxa"/>
              <w:bottom w:w="80" w:type="dxa"/>
              <w:right w:w="40" w:type="dxa"/>
            </w:tcMar>
            <w:vAlign w:val="center"/>
          </w:tcPr>
          <w:p w14:paraId="48C53B47" w14:textId="6BD6913D" w:rsidR="00243A6E" w:rsidRPr="00243A6E" w:rsidRDefault="00243A6E" w:rsidP="00243A6E">
            <w:pPr>
              <w:jc w:val="center"/>
              <w:rPr>
                <w:rFonts w:asciiTheme="minorHAnsi" w:hAnsiTheme="minorHAnsi" w:cstheme="minorHAnsi"/>
                <w:b/>
                <w:bCs/>
                <w:sz w:val="19"/>
                <w:szCs w:val="19"/>
              </w:rPr>
            </w:pPr>
            <w:r w:rsidRPr="00243A6E">
              <w:rPr>
                <w:rFonts w:asciiTheme="minorHAnsi" w:hAnsiTheme="minorHAnsi" w:cstheme="minorHAnsi"/>
                <w:b/>
                <w:bCs/>
                <w:sz w:val="19"/>
                <w:szCs w:val="19"/>
              </w:rPr>
              <w:t>2</w:t>
            </w:r>
          </w:p>
        </w:tc>
        <w:tc>
          <w:tcPr>
            <w:tcW w:w="629" w:type="dxa"/>
            <w:tcMar>
              <w:top w:w="80" w:type="dxa"/>
              <w:left w:w="40" w:type="dxa"/>
              <w:bottom w:w="80" w:type="dxa"/>
              <w:right w:w="40" w:type="dxa"/>
            </w:tcMar>
            <w:vAlign w:val="center"/>
          </w:tcPr>
          <w:p w14:paraId="517FE4B0" w14:textId="7BD6A31A" w:rsidR="00243A6E" w:rsidRPr="00243A6E" w:rsidRDefault="00243A6E" w:rsidP="00243A6E">
            <w:pPr>
              <w:jc w:val="center"/>
              <w:rPr>
                <w:rFonts w:asciiTheme="minorHAnsi" w:hAnsiTheme="minorHAnsi" w:cstheme="minorHAnsi"/>
                <w:b/>
                <w:bCs/>
                <w:sz w:val="19"/>
                <w:szCs w:val="19"/>
              </w:rPr>
            </w:pPr>
            <w:r w:rsidRPr="00243A6E">
              <w:rPr>
                <w:rFonts w:asciiTheme="minorHAnsi" w:hAnsiTheme="minorHAnsi" w:cstheme="minorHAnsi"/>
                <w:b/>
                <w:bCs/>
                <w:sz w:val="19"/>
                <w:szCs w:val="19"/>
              </w:rPr>
              <w:t>–</w:t>
            </w:r>
          </w:p>
        </w:tc>
        <w:tc>
          <w:tcPr>
            <w:tcW w:w="629" w:type="dxa"/>
            <w:tcMar>
              <w:top w:w="80" w:type="dxa"/>
              <w:left w:w="40" w:type="dxa"/>
              <w:bottom w:w="80" w:type="dxa"/>
              <w:right w:w="40" w:type="dxa"/>
            </w:tcMar>
            <w:vAlign w:val="center"/>
          </w:tcPr>
          <w:p w14:paraId="3275223C" w14:textId="3EE2181F" w:rsidR="00243A6E" w:rsidRPr="00243A6E" w:rsidRDefault="00243A6E" w:rsidP="00243A6E">
            <w:pPr>
              <w:jc w:val="center"/>
              <w:rPr>
                <w:rFonts w:asciiTheme="minorHAnsi" w:hAnsiTheme="minorHAnsi" w:cstheme="minorHAnsi"/>
                <w:b/>
                <w:bCs/>
                <w:sz w:val="19"/>
                <w:szCs w:val="19"/>
              </w:rPr>
            </w:pPr>
            <w:r w:rsidRPr="00243A6E">
              <w:rPr>
                <w:rFonts w:asciiTheme="minorHAnsi" w:hAnsiTheme="minorHAnsi" w:cstheme="minorHAnsi"/>
                <w:b/>
                <w:bCs/>
                <w:sz w:val="19"/>
                <w:szCs w:val="19"/>
              </w:rPr>
              <w:t>3</w:t>
            </w:r>
          </w:p>
        </w:tc>
        <w:tc>
          <w:tcPr>
            <w:tcW w:w="629" w:type="dxa"/>
            <w:tcMar>
              <w:top w:w="80" w:type="dxa"/>
              <w:left w:w="40" w:type="dxa"/>
              <w:bottom w:w="80" w:type="dxa"/>
              <w:right w:w="40" w:type="dxa"/>
            </w:tcMar>
            <w:vAlign w:val="center"/>
          </w:tcPr>
          <w:p w14:paraId="52AF19A8" w14:textId="3C3235BD" w:rsidR="00243A6E" w:rsidRPr="00243A6E" w:rsidRDefault="00243A6E" w:rsidP="00243A6E">
            <w:pPr>
              <w:jc w:val="center"/>
              <w:rPr>
                <w:rFonts w:asciiTheme="minorHAnsi" w:hAnsiTheme="minorHAnsi" w:cstheme="minorHAnsi"/>
                <w:b/>
                <w:bCs/>
                <w:sz w:val="19"/>
                <w:szCs w:val="19"/>
              </w:rPr>
            </w:pPr>
            <w:r w:rsidRPr="00243A6E">
              <w:rPr>
                <w:rFonts w:asciiTheme="minorHAnsi" w:hAnsiTheme="minorHAnsi" w:cstheme="minorHAnsi"/>
                <w:b/>
                <w:bCs/>
                <w:sz w:val="19"/>
                <w:szCs w:val="19"/>
              </w:rPr>
              <w:t>1</w:t>
            </w:r>
          </w:p>
        </w:tc>
      </w:tr>
    </w:tbl>
    <w:p w14:paraId="3E3CEA35" w14:textId="77777777" w:rsidR="0041655B" w:rsidRDefault="0041655B">
      <w:pPr>
        <w:pBdr>
          <w:bottom w:val="single" w:sz="6" w:space="2" w:color="C8161D"/>
        </w:pBdr>
        <w:spacing w:before="240" w:after="80"/>
        <w:rPr>
          <w:b/>
          <w:bCs/>
          <w:color w:val="1B3A6B"/>
          <w:sz w:val="24"/>
          <w:szCs w:val="24"/>
        </w:rPr>
      </w:pPr>
    </w:p>
    <w:p w14:paraId="730E3222" w14:textId="77777777" w:rsidR="0041655B" w:rsidRDefault="0041655B">
      <w:pPr>
        <w:pBdr>
          <w:bottom w:val="single" w:sz="6" w:space="2" w:color="C8161D"/>
        </w:pBdr>
        <w:spacing w:before="240" w:after="80"/>
        <w:rPr>
          <w:b/>
          <w:bCs/>
          <w:color w:val="1B3A6B"/>
          <w:sz w:val="24"/>
          <w:szCs w:val="24"/>
        </w:rPr>
      </w:pPr>
    </w:p>
    <w:p w14:paraId="40554AE6" w14:textId="41F1C48D" w:rsidR="00AA13D1" w:rsidRDefault="006145A5">
      <w:pPr>
        <w:pBdr>
          <w:bottom w:val="single" w:sz="6" w:space="2" w:color="C8161D"/>
        </w:pBdr>
        <w:spacing w:before="240" w:after="80"/>
      </w:pPr>
      <w:r>
        <w:rPr>
          <w:b/>
          <w:bCs/>
          <w:color w:val="1B3A6B"/>
          <w:sz w:val="24"/>
          <w:szCs w:val="24"/>
        </w:rPr>
        <w:lastRenderedPageBreak/>
        <w:t>Topics to be Covered</w:t>
      </w:r>
    </w:p>
    <w:p w14:paraId="232733B2" w14:textId="77777777" w:rsidR="00AA13D1" w:rsidRDefault="00AA13D1">
      <w:pPr>
        <w:spacing w:before="6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8006"/>
        <w:gridCol w:w="1000"/>
      </w:tblGrid>
      <w:tr w:rsidR="00AA13D1" w14:paraId="67A3C122" w14:textId="77777777" w:rsidTr="000A671E">
        <w:trPr>
          <w:cantSplit/>
        </w:trPr>
        <w:tc>
          <w:tcPr>
            <w:tcW w:w="700" w:type="dxa"/>
            <w:shd w:val="clear" w:color="auto" w:fill="1B3A6B"/>
            <w:tcMar>
              <w:top w:w="100" w:type="dxa"/>
              <w:left w:w="120" w:type="dxa"/>
              <w:bottom w:w="100" w:type="dxa"/>
              <w:right w:w="120" w:type="dxa"/>
            </w:tcMar>
            <w:vAlign w:val="center"/>
          </w:tcPr>
          <w:p w14:paraId="31F6FAD9" w14:textId="77777777" w:rsidR="00AA13D1" w:rsidRDefault="006145A5">
            <w:pPr>
              <w:jc w:val="center"/>
            </w:pPr>
            <w:r>
              <w:rPr>
                <w:b/>
                <w:bCs/>
                <w:color w:val="FFFFFF"/>
              </w:rPr>
              <w:t>Unit No.</w:t>
            </w:r>
          </w:p>
        </w:tc>
        <w:tc>
          <w:tcPr>
            <w:tcW w:w="8006" w:type="dxa"/>
            <w:shd w:val="clear" w:color="auto" w:fill="1B3A6B"/>
            <w:tcMar>
              <w:top w:w="100" w:type="dxa"/>
              <w:left w:w="120" w:type="dxa"/>
              <w:bottom w:w="100" w:type="dxa"/>
              <w:right w:w="120" w:type="dxa"/>
            </w:tcMar>
            <w:vAlign w:val="center"/>
          </w:tcPr>
          <w:p w14:paraId="6B021FBC" w14:textId="77777777" w:rsidR="00AA13D1" w:rsidRDefault="006145A5">
            <w:pPr>
              <w:jc w:val="center"/>
            </w:pPr>
            <w:r>
              <w:rPr>
                <w:b/>
                <w:bCs/>
                <w:color w:val="FFFFFF"/>
              </w:rPr>
              <w:t>Contents</w:t>
            </w:r>
          </w:p>
        </w:tc>
        <w:tc>
          <w:tcPr>
            <w:tcW w:w="1000" w:type="dxa"/>
            <w:shd w:val="clear" w:color="auto" w:fill="1B3A6B"/>
            <w:tcMar>
              <w:top w:w="80" w:type="dxa"/>
              <w:left w:w="60" w:type="dxa"/>
              <w:bottom w:w="80" w:type="dxa"/>
              <w:right w:w="60" w:type="dxa"/>
            </w:tcMar>
            <w:vAlign w:val="center"/>
          </w:tcPr>
          <w:p w14:paraId="4B886562" w14:textId="77777777" w:rsidR="00AA13D1" w:rsidRDefault="006145A5">
            <w:pPr>
              <w:jc w:val="center"/>
            </w:pPr>
            <w:r>
              <w:rPr>
                <w:b/>
                <w:bCs/>
                <w:color w:val="FFFFFF"/>
                <w:sz w:val="19"/>
                <w:szCs w:val="19"/>
              </w:rPr>
              <w:t>Session</w:t>
            </w:r>
          </w:p>
          <w:p w14:paraId="4AA644A1" w14:textId="77777777" w:rsidR="00AA13D1" w:rsidRDefault="006145A5">
            <w:pPr>
              <w:jc w:val="center"/>
            </w:pPr>
            <w:r>
              <w:rPr>
                <w:b/>
                <w:bCs/>
                <w:color w:val="FFFFFF"/>
                <w:sz w:val="19"/>
                <w:szCs w:val="19"/>
              </w:rPr>
              <w:t>(in Hours)</w:t>
            </w:r>
          </w:p>
        </w:tc>
      </w:tr>
      <w:tr w:rsidR="00D815D6" w14:paraId="48659BF5" w14:textId="77777777" w:rsidTr="000A671E">
        <w:trPr>
          <w:cantSplit/>
        </w:trPr>
        <w:tc>
          <w:tcPr>
            <w:tcW w:w="700" w:type="dxa"/>
            <w:tcMar>
              <w:top w:w="60" w:type="dxa"/>
              <w:left w:w="80" w:type="dxa"/>
              <w:bottom w:w="60" w:type="dxa"/>
              <w:right w:w="80" w:type="dxa"/>
            </w:tcMar>
            <w:vAlign w:val="center"/>
          </w:tcPr>
          <w:p w14:paraId="10351DBB" w14:textId="77777777" w:rsidR="00D815D6" w:rsidRDefault="00D815D6" w:rsidP="00D815D6">
            <w:pPr>
              <w:jc w:val="center"/>
            </w:pPr>
            <w:r>
              <w:rPr>
                <w:b/>
                <w:bCs/>
                <w:color w:val="1B3A6B"/>
              </w:rPr>
              <w:t>1</w:t>
            </w:r>
          </w:p>
        </w:tc>
        <w:tc>
          <w:tcPr>
            <w:tcW w:w="8006" w:type="dxa"/>
            <w:tcMar>
              <w:top w:w="80" w:type="dxa"/>
              <w:left w:w="140" w:type="dxa"/>
              <w:bottom w:w="80" w:type="dxa"/>
              <w:right w:w="120" w:type="dxa"/>
            </w:tcMar>
            <w:vAlign w:val="center"/>
          </w:tcPr>
          <w:p w14:paraId="2F19452C" w14:textId="77777777" w:rsidR="00D815D6" w:rsidRPr="00D815D6" w:rsidRDefault="00D815D6" w:rsidP="00D815D6">
            <w:pPr>
              <w:spacing w:after="60"/>
              <w:rPr>
                <w:rFonts w:asciiTheme="minorHAnsi" w:hAnsiTheme="minorHAnsi" w:cstheme="minorHAnsi"/>
                <w:sz w:val="19"/>
                <w:szCs w:val="19"/>
              </w:rPr>
            </w:pPr>
            <w:r w:rsidRPr="00D815D6">
              <w:rPr>
                <w:rFonts w:asciiTheme="minorHAnsi" w:hAnsiTheme="minorHAnsi" w:cstheme="minorHAnsi"/>
                <w:b/>
                <w:bCs/>
                <w:color w:val="8E2433"/>
                <w:sz w:val="19"/>
                <w:szCs w:val="19"/>
              </w:rPr>
              <w:t>Foundations of Business Law, the Indian Legal System and Dispute Resolution</w:t>
            </w:r>
          </w:p>
          <w:p w14:paraId="777F806C" w14:textId="77777777" w:rsidR="00D815D6" w:rsidRPr="00D815D6" w:rsidRDefault="00D815D6" w:rsidP="00D815D6">
            <w:pPr>
              <w:spacing w:after="80"/>
              <w:jc w:val="both"/>
              <w:rPr>
                <w:rFonts w:asciiTheme="minorHAnsi" w:hAnsiTheme="minorHAnsi" w:cstheme="minorHAnsi"/>
                <w:sz w:val="19"/>
                <w:szCs w:val="19"/>
              </w:rPr>
            </w:pPr>
            <w:r w:rsidRPr="00D815D6">
              <w:rPr>
                <w:rFonts w:asciiTheme="minorHAnsi" w:hAnsiTheme="minorHAnsi" w:cstheme="minorHAnsi"/>
                <w:b/>
                <w:bCs/>
                <w:sz w:val="19"/>
                <w:szCs w:val="19"/>
              </w:rPr>
              <w:t xml:space="preserve">Foundations of Business Law and the Indian Legal System: </w:t>
            </w:r>
            <w:r w:rsidRPr="00D815D6">
              <w:rPr>
                <w:rFonts w:asciiTheme="minorHAnsi" w:hAnsiTheme="minorHAnsi" w:cstheme="minorHAnsi"/>
                <w:sz w:val="19"/>
                <w:szCs w:val="19"/>
              </w:rPr>
              <w:t>Nature, Scope and Sources of Business Law – Statutory Law, Common Law, International Conventions and Customs; Legal Rights, Duties and Liabilities; Civil vs. Criminal Liability in Business.</w:t>
            </w:r>
          </w:p>
          <w:p w14:paraId="716EAE76" w14:textId="77777777" w:rsidR="00D815D6" w:rsidRPr="00D815D6" w:rsidRDefault="00D815D6" w:rsidP="00D815D6">
            <w:pPr>
              <w:spacing w:after="80"/>
              <w:jc w:val="both"/>
              <w:rPr>
                <w:rFonts w:asciiTheme="minorHAnsi" w:hAnsiTheme="minorHAnsi" w:cstheme="minorHAnsi"/>
                <w:sz w:val="19"/>
                <w:szCs w:val="19"/>
              </w:rPr>
            </w:pPr>
            <w:r w:rsidRPr="00D815D6">
              <w:rPr>
                <w:rFonts w:asciiTheme="minorHAnsi" w:hAnsiTheme="minorHAnsi" w:cstheme="minorHAnsi"/>
                <w:b/>
                <w:bCs/>
                <w:sz w:val="19"/>
                <w:szCs w:val="19"/>
              </w:rPr>
              <w:t xml:space="preserve">Judicial and Regulatory Architecture for Business: </w:t>
            </w:r>
            <w:r w:rsidRPr="00D815D6">
              <w:rPr>
                <w:rFonts w:asciiTheme="minorHAnsi" w:hAnsiTheme="minorHAnsi" w:cstheme="minorHAnsi"/>
                <w:sz w:val="19"/>
                <w:szCs w:val="19"/>
              </w:rPr>
              <w:t>Hierarchy of Courts, Specialised Tribunals (NCLT, NCLAT, CCI, Consumer Commissions); Role of Business Law in Legal Risk Management and Strategic Decision-Making.</w:t>
            </w:r>
          </w:p>
          <w:p w14:paraId="3E27CF31" w14:textId="77777777" w:rsidR="00D815D6" w:rsidRPr="00D815D6" w:rsidRDefault="00D815D6" w:rsidP="00D815D6">
            <w:pPr>
              <w:spacing w:after="80"/>
              <w:jc w:val="both"/>
              <w:rPr>
                <w:rFonts w:asciiTheme="minorHAnsi" w:hAnsiTheme="minorHAnsi" w:cstheme="minorHAnsi"/>
                <w:sz w:val="19"/>
                <w:szCs w:val="19"/>
              </w:rPr>
            </w:pPr>
            <w:r w:rsidRPr="00D815D6">
              <w:rPr>
                <w:rFonts w:asciiTheme="minorHAnsi" w:hAnsiTheme="minorHAnsi" w:cstheme="minorHAnsi"/>
                <w:b/>
                <w:bCs/>
                <w:sz w:val="19"/>
                <w:szCs w:val="19"/>
              </w:rPr>
              <w:t xml:space="preserve">Legal Due Diligence for Startups: </w:t>
            </w:r>
            <w:r w:rsidRPr="00D815D6">
              <w:rPr>
                <w:rFonts w:asciiTheme="minorHAnsi" w:hAnsiTheme="minorHAnsi" w:cstheme="minorHAnsi"/>
                <w:sz w:val="19"/>
                <w:szCs w:val="19"/>
              </w:rPr>
              <w:t>Entity Selection, Statutory Registrations, Licences and Compliance Calendars for New Ventures.</w:t>
            </w:r>
          </w:p>
          <w:p w14:paraId="18445B0D" w14:textId="77777777" w:rsidR="00D815D6" w:rsidRPr="00D815D6" w:rsidRDefault="00D815D6" w:rsidP="00D815D6">
            <w:pPr>
              <w:spacing w:after="80"/>
              <w:jc w:val="both"/>
              <w:rPr>
                <w:rFonts w:asciiTheme="minorHAnsi" w:hAnsiTheme="minorHAnsi" w:cstheme="minorHAnsi"/>
                <w:sz w:val="19"/>
                <w:szCs w:val="19"/>
              </w:rPr>
            </w:pPr>
            <w:r w:rsidRPr="00D815D6">
              <w:rPr>
                <w:rFonts w:asciiTheme="minorHAnsi" w:hAnsiTheme="minorHAnsi" w:cstheme="minorHAnsi"/>
                <w:b/>
                <w:bCs/>
                <w:sz w:val="19"/>
                <w:szCs w:val="19"/>
              </w:rPr>
              <w:t xml:space="preserve">Alternative Dispute Resolution (ADR): </w:t>
            </w:r>
            <w:r w:rsidRPr="00D815D6">
              <w:rPr>
                <w:rFonts w:asciiTheme="minorHAnsi" w:hAnsiTheme="minorHAnsi" w:cstheme="minorHAnsi"/>
                <w:sz w:val="19"/>
                <w:szCs w:val="19"/>
              </w:rPr>
              <w:t>Negotiation, Conciliation and Mediation under the Mediation Act, 2023; Arbitration and Conciliation Act, 1996 (as amended) — Arbitration Agreements, Institutional vs. Ad-hoc Arbitration, Enforcement of Awards.</w:t>
            </w:r>
          </w:p>
          <w:p w14:paraId="1165C9CF" w14:textId="77777777" w:rsidR="00D815D6" w:rsidRPr="00D815D6" w:rsidRDefault="00D815D6" w:rsidP="00D815D6">
            <w:pPr>
              <w:spacing w:after="80"/>
              <w:jc w:val="both"/>
              <w:rPr>
                <w:rFonts w:asciiTheme="minorHAnsi" w:hAnsiTheme="minorHAnsi" w:cstheme="minorHAnsi"/>
                <w:sz w:val="19"/>
                <w:szCs w:val="19"/>
              </w:rPr>
            </w:pPr>
            <w:r w:rsidRPr="00D815D6">
              <w:rPr>
                <w:rFonts w:asciiTheme="minorHAnsi" w:hAnsiTheme="minorHAnsi" w:cstheme="minorHAnsi"/>
                <w:b/>
                <w:bCs/>
                <w:sz w:val="19"/>
                <w:szCs w:val="19"/>
              </w:rPr>
              <w:t xml:space="preserve">Emergency Arbitration and Legal Technology: </w:t>
            </w:r>
            <w:r w:rsidRPr="00D815D6">
              <w:rPr>
                <w:rFonts w:asciiTheme="minorHAnsi" w:hAnsiTheme="minorHAnsi" w:cstheme="minorHAnsi"/>
                <w:sz w:val="19"/>
                <w:szCs w:val="19"/>
              </w:rPr>
              <w:t>Cross-Border Enforcement of Awards; Online Dispute Resolution (ODR) Platforms and AI-Assisted Legal Research Tools.</w:t>
            </w:r>
          </w:p>
          <w:p w14:paraId="07EDA099" w14:textId="08FBB3A3" w:rsidR="00D815D6" w:rsidRPr="00D815D6" w:rsidRDefault="00D815D6" w:rsidP="00D815D6">
            <w:pPr>
              <w:spacing w:before="28" w:after="28"/>
              <w:ind w:left="320" w:hanging="240"/>
              <w:rPr>
                <w:rFonts w:asciiTheme="minorHAnsi" w:hAnsiTheme="minorHAnsi" w:cstheme="minorHAnsi"/>
                <w:sz w:val="19"/>
                <w:szCs w:val="19"/>
              </w:rPr>
            </w:pPr>
            <w:r w:rsidRPr="00D815D6">
              <w:rPr>
                <w:rFonts w:asciiTheme="minorHAnsi" w:hAnsiTheme="minorHAnsi" w:cstheme="minorHAnsi"/>
                <w:b/>
                <w:bCs/>
                <w:sz w:val="19"/>
                <w:szCs w:val="19"/>
              </w:rPr>
              <w:t xml:space="preserve">Case Discussion: </w:t>
            </w:r>
            <w:r w:rsidRPr="00D815D6">
              <w:rPr>
                <w:rFonts w:asciiTheme="minorHAnsi" w:hAnsiTheme="minorHAnsi" w:cstheme="minorHAnsi"/>
                <w:sz w:val="19"/>
                <w:szCs w:val="19"/>
              </w:rPr>
              <w:t>Amazon v. Future Retail (Supreme Court of India, 2021) — Emergency Arbitration and the Group of Companies Doctrine.</w:t>
            </w:r>
          </w:p>
        </w:tc>
        <w:tc>
          <w:tcPr>
            <w:tcW w:w="1000" w:type="dxa"/>
            <w:tcMar>
              <w:top w:w="60" w:type="dxa"/>
              <w:left w:w="60" w:type="dxa"/>
              <w:bottom w:w="60" w:type="dxa"/>
              <w:right w:w="60" w:type="dxa"/>
            </w:tcMar>
            <w:vAlign w:val="center"/>
          </w:tcPr>
          <w:p w14:paraId="4236B90A" w14:textId="77777777" w:rsidR="00D815D6" w:rsidRDefault="00D815D6" w:rsidP="00D815D6">
            <w:pPr>
              <w:jc w:val="center"/>
            </w:pPr>
            <w:r>
              <w:rPr>
                <w:b/>
                <w:bCs/>
                <w:color w:val="1B3A6B"/>
              </w:rPr>
              <w:t>6</w:t>
            </w:r>
          </w:p>
        </w:tc>
      </w:tr>
      <w:tr w:rsidR="00D815D6" w14:paraId="6F06D134" w14:textId="77777777" w:rsidTr="000A671E">
        <w:trPr>
          <w:cantSplit/>
        </w:trPr>
        <w:tc>
          <w:tcPr>
            <w:tcW w:w="700" w:type="dxa"/>
            <w:tcMar>
              <w:top w:w="60" w:type="dxa"/>
              <w:left w:w="80" w:type="dxa"/>
              <w:bottom w:w="60" w:type="dxa"/>
              <w:right w:w="80" w:type="dxa"/>
            </w:tcMar>
            <w:vAlign w:val="center"/>
          </w:tcPr>
          <w:p w14:paraId="7D1CF259" w14:textId="77777777" w:rsidR="00D815D6" w:rsidRDefault="00D815D6" w:rsidP="00D815D6">
            <w:pPr>
              <w:jc w:val="center"/>
            </w:pPr>
            <w:r>
              <w:rPr>
                <w:b/>
                <w:bCs/>
                <w:color w:val="1B3A6B"/>
              </w:rPr>
              <w:t>2</w:t>
            </w:r>
          </w:p>
        </w:tc>
        <w:tc>
          <w:tcPr>
            <w:tcW w:w="8006" w:type="dxa"/>
            <w:tcMar>
              <w:top w:w="80" w:type="dxa"/>
              <w:left w:w="140" w:type="dxa"/>
              <w:bottom w:w="80" w:type="dxa"/>
              <w:right w:w="120" w:type="dxa"/>
            </w:tcMar>
            <w:vAlign w:val="center"/>
          </w:tcPr>
          <w:p w14:paraId="6ABCC55B" w14:textId="77777777" w:rsidR="00D815D6" w:rsidRPr="00D815D6" w:rsidRDefault="00D815D6" w:rsidP="00D815D6">
            <w:pPr>
              <w:spacing w:after="60"/>
              <w:rPr>
                <w:rFonts w:asciiTheme="minorHAnsi" w:hAnsiTheme="minorHAnsi" w:cstheme="minorHAnsi"/>
                <w:sz w:val="19"/>
                <w:szCs w:val="19"/>
              </w:rPr>
            </w:pPr>
            <w:r w:rsidRPr="00D815D6">
              <w:rPr>
                <w:rFonts w:asciiTheme="minorHAnsi" w:hAnsiTheme="minorHAnsi" w:cstheme="minorHAnsi"/>
                <w:b/>
                <w:bCs/>
                <w:color w:val="8E2433"/>
                <w:sz w:val="19"/>
                <w:szCs w:val="19"/>
              </w:rPr>
              <w:t>Contract Law, Drafting and Digital Agreements</w:t>
            </w:r>
          </w:p>
          <w:p w14:paraId="66EC1CCE" w14:textId="77777777" w:rsidR="00D815D6" w:rsidRPr="00D815D6" w:rsidRDefault="00D815D6" w:rsidP="00D815D6">
            <w:pPr>
              <w:spacing w:after="80"/>
              <w:jc w:val="both"/>
              <w:rPr>
                <w:rFonts w:asciiTheme="minorHAnsi" w:hAnsiTheme="minorHAnsi" w:cstheme="minorHAnsi"/>
                <w:sz w:val="19"/>
                <w:szCs w:val="19"/>
              </w:rPr>
            </w:pPr>
            <w:r w:rsidRPr="00D815D6">
              <w:rPr>
                <w:rFonts w:asciiTheme="minorHAnsi" w:hAnsiTheme="minorHAnsi" w:cstheme="minorHAnsi"/>
                <w:b/>
                <w:bCs/>
                <w:sz w:val="19"/>
                <w:szCs w:val="19"/>
              </w:rPr>
              <w:t xml:space="preserve">Fundamentals of Contract Law: </w:t>
            </w:r>
            <w:r w:rsidRPr="00D815D6">
              <w:rPr>
                <w:rFonts w:asciiTheme="minorHAnsi" w:hAnsiTheme="minorHAnsi" w:cstheme="minorHAnsi"/>
                <w:sz w:val="19"/>
                <w:szCs w:val="19"/>
              </w:rPr>
              <w:t>Essential Elements of a Valid Contract — Offer and Acceptance, Consideration, Capacity, Free Consent; Void, Voidable and Unenforceable Contracts; Quasi-Contracts.</w:t>
            </w:r>
          </w:p>
          <w:p w14:paraId="0B1A087F" w14:textId="77777777" w:rsidR="00D815D6" w:rsidRPr="00D815D6" w:rsidRDefault="00D815D6" w:rsidP="00D815D6">
            <w:pPr>
              <w:spacing w:after="80"/>
              <w:jc w:val="both"/>
              <w:rPr>
                <w:rFonts w:asciiTheme="minorHAnsi" w:hAnsiTheme="minorHAnsi" w:cstheme="minorHAnsi"/>
                <w:sz w:val="19"/>
                <w:szCs w:val="19"/>
              </w:rPr>
            </w:pPr>
            <w:r w:rsidRPr="00D815D6">
              <w:rPr>
                <w:rFonts w:asciiTheme="minorHAnsi" w:hAnsiTheme="minorHAnsi" w:cstheme="minorHAnsi"/>
                <w:b/>
                <w:bCs/>
                <w:sz w:val="19"/>
                <w:szCs w:val="19"/>
              </w:rPr>
              <w:t xml:space="preserve">Types of Business Contracts: </w:t>
            </w:r>
            <w:r w:rsidRPr="00D815D6">
              <w:rPr>
                <w:rFonts w:asciiTheme="minorHAnsi" w:hAnsiTheme="minorHAnsi" w:cstheme="minorHAnsi"/>
                <w:sz w:val="19"/>
                <w:szCs w:val="19"/>
              </w:rPr>
              <w:t>Sale, Service, Licensing, Distribution, Employment, Franchise and Technology/SaaS Agreements.</w:t>
            </w:r>
          </w:p>
          <w:p w14:paraId="00C494B5" w14:textId="77777777" w:rsidR="00D815D6" w:rsidRPr="00D815D6" w:rsidRDefault="00D815D6" w:rsidP="00D815D6">
            <w:pPr>
              <w:spacing w:after="80"/>
              <w:jc w:val="both"/>
              <w:rPr>
                <w:rFonts w:asciiTheme="minorHAnsi" w:hAnsiTheme="minorHAnsi" w:cstheme="minorHAnsi"/>
                <w:sz w:val="19"/>
                <w:szCs w:val="19"/>
              </w:rPr>
            </w:pPr>
            <w:r w:rsidRPr="00D815D6">
              <w:rPr>
                <w:rFonts w:asciiTheme="minorHAnsi" w:hAnsiTheme="minorHAnsi" w:cstheme="minorHAnsi"/>
                <w:b/>
                <w:bCs/>
                <w:sz w:val="19"/>
                <w:szCs w:val="19"/>
              </w:rPr>
              <w:t xml:space="preserve">Performance, Discharge and Remedies: </w:t>
            </w:r>
            <w:r w:rsidRPr="00D815D6">
              <w:rPr>
                <w:rFonts w:asciiTheme="minorHAnsi" w:hAnsiTheme="minorHAnsi" w:cstheme="minorHAnsi"/>
                <w:sz w:val="19"/>
                <w:szCs w:val="19"/>
              </w:rPr>
              <w:t>Discharge of Contracts; Remedies for Breach — Damages, Specific Performance, Injunctions and Liquidated Damages.</w:t>
            </w:r>
          </w:p>
          <w:p w14:paraId="10898972" w14:textId="77777777" w:rsidR="00D815D6" w:rsidRPr="00D815D6" w:rsidRDefault="00D815D6" w:rsidP="00D815D6">
            <w:pPr>
              <w:spacing w:after="80"/>
              <w:jc w:val="both"/>
              <w:rPr>
                <w:rFonts w:asciiTheme="minorHAnsi" w:hAnsiTheme="minorHAnsi" w:cstheme="minorHAnsi"/>
                <w:sz w:val="19"/>
                <w:szCs w:val="19"/>
              </w:rPr>
            </w:pPr>
            <w:r w:rsidRPr="00D815D6">
              <w:rPr>
                <w:rFonts w:asciiTheme="minorHAnsi" w:hAnsiTheme="minorHAnsi" w:cstheme="minorHAnsi"/>
                <w:b/>
                <w:bCs/>
                <w:sz w:val="19"/>
                <w:szCs w:val="19"/>
              </w:rPr>
              <w:t xml:space="preserve">Drafting of Legal Contracts: </w:t>
            </w:r>
            <w:r w:rsidRPr="00D815D6">
              <w:rPr>
                <w:rFonts w:asciiTheme="minorHAnsi" w:hAnsiTheme="minorHAnsi" w:cstheme="minorHAnsi"/>
                <w:sz w:val="19"/>
                <w:szCs w:val="19"/>
              </w:rPr>
              <w:t>Structuring Key Clauses — Indemnity, Limitation of Liability, Confidentiality (NDAs), Force Majeure, Termination and Dispute Resolution Clauses.</w:t>
            </w:r>
          </w:p>
          <w:p w14:paraId="076A9BE8" w14:textId="77777777" w:rsidR="00D815D6" w:rsidRPr="00D815D6" w:rsidRDefault="00D815D6" w:rsidP="00D815D6">
            <w:pPr>
              <w:spacing w:after="80"/>
              <w:jc w:val="both"/>
              <w:rPr>
                <w:rFonts w:asciiTheme="minorHAnsi" w:hAnsiTheme="minorHAnsi" w:cstheme="minorHAnsi"/>
                <w:sz w:val="19"/>
                <w:szCs w:val="19"/>
              </w:rPr>
            </w:pPr>
            <w:r w:rsidRPr="00D815D6">
              <w:rPr>
                <w:rFonts w:asciiTheme="minorHAnsi" w:hAnsiTheme="minorHAnsi" w:cstheme="minorHAnsi"/>
                <w:b/>
                <w:bCs/>
                <w:sz w:val="19"/>
                <w:szCs w:val="19"/>
              </w:rPr>
              <w:t xml:space="preserve">E-Contracts and Digital Agreements: </w:t>
            </w:r>
            <w:r w:rsidRPr="00D815D6">
              <w:rPr>
                <w:rFonts w:asciiTheme="minorHAnsi" w:hAnsiTheme="minorHAnsi" w:cstheme="minorHAnsi"/>
                <w:sz w:val="19"/>
                <w:szCs w:val="19"/>
              </w:rPr>
              <w:t>Information Technology Act, 2000 — Validity of Electronic Signatures, Click-Wrap and Browse-Wrap Agreements.</w:t>
            </w:r>
          </w:p>
          <w:p w14:paraId="1FEBC8D2" w14:textId="77777777" w:rsidR="00D815D6" w:rsidRPr="00D815D6" w:rsidRDefault="00D815D6" w:rsidP="00D815D6">
            <w:pPr>
              <w:spacing w:after="80"/>
              <w:jc w:val="both"/>
              <w:rPr>
                <w:rFonts w:asciiTheme="minorHAnsi" w:hAnsiTheme="minorHAnsi" w:cstheme="minorHAnsi"/>
                <w:sz w:val="19"/>
                <w:szCs w:val="19"/>
              </w:rPr>
            </w:pPr>
            <w:r w:rsidRPr="00D815D6">
              <w:rPr>
                <w:rFonts w:asciiTheme="minorHAnsi" w:hAnsiTheme="minorHAnsi" w:cstheme="minorHAnsi"/>
                <w:b/>
                <w:bCs/>
                <w:sz w:val="19"/>
                <w:szCs w:val="19"/>
              </w:rPr>
              <w:t xml:space="preserve">AI and Legal Technology in Contract Management: </w:t>
            </w:r>
            <w:r w:rsidRPr="00D815D6">
              <w:rPr>
                <w:rFonts w:asciiTheme="minorHAnsi" w:hAnsiTheme="minorHAnsi" w:cstheme="minorHAnsi"/>
                <w:sz w:val="19"/>
                <w:szCs w:val="19"/>
              </w:rPr>
              <w:t>AI-Assisted Contract Review and Contract Lifecycle Management (CLM) Tools.</w:t>
            </w:r>
          </w:p>
          <w:p w14:paraId="22C702F0" w14:textId="3383DE98" w:rsidR="00D815D6" w:rsidRPr="00D815D6" w:rsidRDefault="00D815D6" w:rsidP="00D815D6">
            <w:pPr>
              <w:spacing w:before="28" w:after="28"/>
              <w:ind w:left="320" w:hanging="240"/>
              <w:rPr>
                <w:rFonts w:asciiTheme="minorHAnsi" w:hAnsiTheme="minorHAnsi" w:cstheme="minorHAnsi"/>
                <w:sz w:val="19"/>
                <w:szCs w:val="19"/>
              </w:rPr>
            </w:pPr>
            <w:r w:rsidRPr="00D815D6">
              <w:rPr>
                <w:rFonts w:asciiTheme="minorHAnsi" w:hAnsiTheme="minorHAnsi" w:cstheme="minorHAnsi"/>
                <w:b/>
                <w:bCs/>
                <w:sz w:val="19"/>
                <w:szCs w:val="19"/>
              </w:rPr>
              <w:t xml:space="preserve">Practical Exercise: </w:t>
            </w:r>
            <w:r w:rsidRPr="00D815D6">
              <w:rPr>
                <w:rFonts w:asciiTheme="minorHAnsi" w:hAnsiTheme="minorHAnsi" w:cstheme="minorHAnsi"/>
                <w:sz w:val="19"/>
                <w:szCs w:val="19"/>
              </w:rPr>
              <w:t>Drafting and Redlining of an NDA and a SaaS Service Agreement.</w:t>
            </w:r>
          </w:p>
        </w:tc>
        <w:tc>
          <w:tcPr>
            <w:tcW w:w="1000" w:type="dxa"/>
            <w:tcMar>
              <w:top w:w="60" w:type="dxa"/>
              <w:left w:w="60" w:type="dxa"/>
              <w:bottom w:w="60" w:type="dxa"/>
              <w:right w:w="60" w:type="dxa"/>
            </w:tcMar>
            <w:vAlign w:val="center"/>
          </w:tcPr>
          <w:p w14:paraId="47C86CE8" w14:textId="77777777" w:rsidR="00D815D6" w:rsidRDefault="00D815D6" w:rsidP="00D815D6">
            <w:pPr>
              <w:jc w:val="center"/>
            </w:pPr>
            <w:r>
              <w:rPr>
                <w:b/>
                <w:bCs/>
                <w:color w:val="1B3A6B"/>
              </w:rPr>
              <w:t>6</w:t>
            </w:r>
          </w:p>
        </w:tc>
      </w:tr>
      <w:tr w:rsidR="00D815D6" w14:paraId="35A93141" w14:textId="77777777" w:rsidTr="000A671E">
        <w:trPr>
          <w:cantSplit/>
        </w:trPr>
        <w:tc>
          <w:tcPr>
            <w:tcW w:w="700" w:type="dxa"/>
            <w:tcMar>
              <w:top w:w="60" w:type="dxa"/>
              <w:left w:w="80" w:type="dxa"/>
              <w:bottom w:w="60" w:type="dxa"/>
              <w:right w:w="80" w:type="dxa"/>
            </w:tcMar>
            <w:vAlign w:val="center"/>
          </w:tcPr>
          <w:p w14:paraId="73949852" w14:textId="77777777" w:rsidR="00D815D6" w:rsidRDefault="00D815D6" w:rsidP="00D815D6">
            <w:pPr>
              <w:jc w:val="center"/>
            </w:pPr>
            <w:r>
              <w:rPr>
                <w:b/>
                <w:bCs/>
                <w:color w:val="1B3A6B"/>
              </w:rPr>
              <w:t>3</w:t>
            </w:r>
          </w:p>
        </w:tc>
        <w:tc>
          <w:tcPr>
            <w:tcW w:w="8006" w:type="dxa"/>
            <w:tcMar>
              <w:top w:w="80" w:type="dxa"/>
              <w:left w:w="140" w:type="dxa"/>
              <w:bottom w:w="80" w:type="dxa"/>
              <w:right w:w="120" w:type="dxa"/>
            </w:tcMar>
            <w:vAlign w:val="center"/>
          </w:tcPr>
          <w:p w14:paraId="2DA84AF7" w14:textId="77777777" w:rsidR="00D815D6" w:rsidRPr="00D815D6" w:rsidRDefault="00D815D6" w:rsidP="00D815D6">
            <w:pPr>
              <w:spacing w:after="60"/>
              <w:rPr>
                <w:rFonts w:asciiTheme="minorHAnsi" w:hAnsiTheme="minorHAnsi" w:cstheme="minorHAnsi"/>
                <w:sz w:val="19"/>
                <w:szCs w:val="19"/>
              </w:rPr>
            </w:pPr>
            <w:r w:rsidRPr="00D815D6">
              <w:rPr>
                <w:rFonts w:asciiTheme="minorHAnsi" w:hAnsiTheme="minorHAnsi" w:cstheme="minorHAnsi"/>
                <w:b/>
                <w:bCs/>
                <w:color w:val="8E2433"/>
                <w:sz w:val="19"/>
                <w:szCs w:val="19"/>
              </w:rPr>
              <w:t>Sale of Goods, Negotiable Instruments and Business Entities</w:t>
            </w:r>
          </w:p>
          <w:p w14:paraId="2C50C3B1" w14:textId="77777777" w:rsidR="00D815D6" w:rsidRPr="00D815D6" w:rsidRDefault="00D815D6" w:rsidP="00D815D6">
            <w:pPr>
              <w:spacing w:after="80"/>
              <w:jc w:val="both"/>
              <w:rPr>
                <w:rFonts w:asciiTheme="minorHAnsi" w:hAnsiTheme="minorHAnsi" w:cstheme="minorHAnsi"/>
                <w:sz w:val="19"/>
                <w:szCs w:val="19"/>
              </w:rPr>
            </w:pPr>
            <w:r w:rsidRPr="00D815D6">
              <w:rPr>
                <w:rFonts w:asciiTheme="minorHAnsi" w:hAnsiTheme="minorHAnsi" w:cstheme="minorHAnsi"/>
                <w:b/>
                <w:bCs/>
                <w:sz w:val="19"/>
                <w:szCs w:val="19"/>
              </w:rPr>
              <w:t xml:space="preserve">Sale of Goods Act, 1930: </w:t>
            </w:r>
            <w:r w:rsidRPr="00D815D6">
              <w:rPr>
                <w:rFonts w:asciiTheme="minorHAnsi" w:hAnsiTheme="minorHAnsi" w:cstheme="minorHAnsi"/>
                <w:sz w:val="19"/>
                <w:szCs w:val="19"/>
              </w:rPr>
              <w:t>Conditions and Warranties; Transfer of Property and Title; Rights of an Unpaid Seller; Auction Sales.</w:t>
            </w:r>
          </w:p>
          <w:p w14:paraId="31702E99" w14:textId="77777777" w:rsidR="00D815D6" w:rsidRPr="00D815D6" w:rsidRDefault="00D815D6" w:rsidP="00D815D6">
            <w:pPr>
              <w:spacing w:after="80"/>
              <w:jc w:val="both"/>
              <w:rPr>
                <w:rFonts w:asciiTheme="minorHAnsi" w:hAnsiTheme="minorHAnsi" w:cstheme="minorHAnsi"/>
                <w:sz w:val="19"/>
                <w:szCs w:val="19"/>
              </w:rPr>
            </w:pPr>
            <w:r w:rsidRPr="00D815D6">
              <w:rPr>
                <w:rFonts w:asciiTheme="minorHAnsi" w:hAnsiTheme="minorHAnsi" w:cstheme="minorHAnsi"/>
                <w:b/>
                <w:bCs/>
                <w:sz w:val="19"/>
                <w:szCs w:val="19"/>
              </w:rPr>
              <w:t xml:space="preserve">Negotiable Instruments Act, 1881: </w:t>
            </w:r>
            <w:r w:rsidRPr="00D815D6">
              <w:rPr>
                <w:rFonts w:asciiTheme="minorHAnsi" w:hAnsiTheme="minorHAnsi" w:cstheme="minorHAnsi"/>
                <w:sz w:val="19"/>
                <w:szCs w:val="19"/>
              </w:rPr>
              <w:t>Types of Instruments — Promissory Notes, Bills of Exchange, Cheques; Negotiation, Endorsement and Holder in Due Course.</w:t>
            </w:r>
          </w:p>
          <w:p w14:paraId="37B8807E" w14:textId="77777777" w:rsidR="00D815D6" w:rsidRPr="00D815D6" w:rsidRDefault="00D815D6" w:rsidP="00D815D6">
            <w:pPr>
              <w:spacing w:after="80"/>
              <w:jc w:val="both"/>
              <w:rPr>
                <w:rFonts w:asciiTheme="minorHAnsi" w:hAnsiTheme="minorHAnsi" w:cstheme="minorHAnsi"/>
                <w:sz w:val="19"/>
                <w:szCs w:val="19"/>
              </w:rPr>
            </w:pPr>
            <w:r w:rsidRPr="00D815D6">
              <w:rPr>
                <w:rFonts w:asciiTheme="minorHAnsi" w:hAnsiTheme="minorHAnsi" w:cstheme="minorHAnsi"/>
                <w:b/>
                <w:bCs/>
                <w:sz w:val="19"/>
                <w:szCs w:val="19"/>
              </w:rPr>
              <w:t xml:space="preserve">Dishonour of Cheques and Digital Payments: </w:t>
            </w:r>
            <w:r w:rsidRPr="00D815D6">
              <w:rPr>
                <w:rFonts w:asciiTheme="minorHAnsi" w:hAnsiTheme="minorHAnsi" w:cstheme="minorHAnsi"/>
                <w:sz w:val="19"/>
                <w:szCs w:val="19"/>
              </w:rPr>
              <w:t>Section 138 Proceedings; Applicability of the NI Act to UPI and Other Electronic Payment Instruments.</w:t>
            </w:r>
          </w:p>
          <w:p w14:paraId="3C26449B" w14:textId="77777777" w:rsidR="00D815D6" w:rsidRPr="00D815D6" w:rsidRDefault="00D815D6" w:rsidP="00D815D6">
            <w:pPr>
              <w:spacing w:after="80"/>
              <w:jc w:val="both"/>
              <w:rPr>
                <w:rFonts w:asciiTheme="minorHAnsi" w:hAnsiTheme="minorHAnsi" w:cstheme="minorHAnsi"/>
                <w:sz w:val="19"/>
                <w:szCs w:val="19"/>
              </w:rPr>
            </w:pPr>
            <w:r w:rsidRPr="00D815D6">
              <w:rPr>
                <w:rFonts w:asciiTheme="minorHAnsi" w:hAnsiTheme="minorHAnsi" w:cstheme="minorHAnsi"/>
                <w:b/>
                <w:bCs/>
                <w:sz w:val="19"/>
                <w:szCs w:val="19"/>
              </w:rPr>
              <w:t xml:space="preserve">Indian Partnership Act, 1932: </w:t>
            </w:r>
            <w:r w:rsidRPr="00D815D6">
              <w:rPr>
                <w:rFonts w:asciiTheme="minorHAnsi" w:hAnsiTheme="minorHAnsi" w:cstheme="minorHAnsi"/>
                <w:sz w:val="19"/>
                <w:szCs w:val="19"/>
              </w:rPr>
              <w:t>Nature, Rights, Duties and Liabilities of Partners; Registration and Dissolution of Firms.</w:t>
            </w:r>
          </w:p>
          <w:p w14:paraId="2322B831" w14:textId="77777777" w:rsidR="00D815D6" w:rsidRPr="00D815D6" w:rsidRDefault="00D815D6" w:rsidP="00D815D6">
            <w:pPr>
              <w:spacing w:after="80"/>
              <w:jc w:val="both"/>
              <w:rPr>
                <w:rFonts w:asciiTheme="minorHAnsi" w:hAnsiTheme="minorHAnsi" w:cstheme="minorHAnsi"/>
                <w:sz w:val="19"/>
                <w:szCs w:val="19"/>
              </w:rPr>
            </w:pPr>
            <w:r w:rsidRPr="00D815D6">
              <w:rPr>
                <w:rFonts w:asciiTheme="minorHAnsi" w:hAnsiTheme="minorHAnsi" w:cstheme="minorHAnsi"/>
                <w:b/>
                <w:bCs/>
                <w:sz w:val="19"/>
                <w:szCs w:val="19"/>
              </w:rPr>
              <w:t xml:space="preserve">Limited Liability Partnership Act, 2008: </w:t>
            </w:r>
            <w:r w:rsidRPr="00D815D6">
              <w:rPr>
                <w:rFonts w:asciiTheme="minorHAnsi" w:hAnsiTheme="minorHAnsi" w:cstheme="minorHAnsi"/>
                <w:sz w:val="19"/>
                <w:szCs w:val="19"/>
              </w:rPr>
              <w:t>Features, Formation and Comparative Analysis with Private Limited Companies.</w:t>
            </w:r>
          </w:p>
          <w:p w14:paraId="47BA4C67" w14:textId="0600E707" w:rsidR="00D815D6" w:rsidRPr="00D815D6" w:rsidRDefault="00D815D6" w:rsidP="00D815D6">
            <w:pPr>
              <w:spacing w:before="28" w:after="28"/>
              <w:ind w:left="320" w:hanging="240"/>
              <w:rPr>
                <w:rFonts w:asciiTheme="minorHAnsi" w:hAnsiTheme="minorHAnsi" w:cstheme="minorHAnsi"/>
                <w:sz w:val="19"/>
                <w:szCs w:val="19"/>
              </w:rPr>
            </w:pPr>
            <w:r w:rsidRPr="00D815D6">
              <w:rPr>
                <w:rFonts w:asciiTheme="minorHAnsi" w:hAnsiTheme="minorHAnsi" w:cstheme="minorHAnsi"/>
                <w:b/>
                <w:bCs/>
                <w:sz w:val="19"/>
                <w:szCs w:val="19"/>
              </w:rPr>
              <w:t xml:space="preserve">Choice of Business Entity for Startups: </w:t>
            </w:r>
            <w:r w:rsidRPr="00D815D6">
              <w:rPr>
                <w:rFonts w:asciiTheme="minorHAnsi" w:hAnsiTheme="minorHAnsi" w:cstheme="minorHAnsi"/>
                <w:sz w:val="19"/>
                <w:szCs w:val="19"/>
              </w:rPr>
              <w:t>Sole Proprietorship, Partnership, LLP, One Person Company (OPC) and Private Limited Company — A Comparative Legal Framework.</w:t>
            </w:r>
          </w:p>
        </w:tc>
        <w:tc>
          <w:tcPr>
            <w:tcW w:w="1000" w:type="dxa"/>
            <w:tcMar>
              <w:top w:w="60" w:type="dxa"/>
              <w:left w:w="60" w:type="dxa"/>
              <w:bottom w:w="60" w:type="dxa"/>
              <w:right w:w="60" w:type="dxa"/>
            </w:tcMar>
            <w:vAlign w:val="center"/>
          </w:tcPr>
          <w:p w14:paraId="5111DF1D" w14:textId="77777777" w:rsidR="00D815D6" w:rsidRDefault="00D815D6" w:rsidP="00D815D6">
            <w:pPr>
              <w:jc w:val="center"/>
            </w:pPr>
            <w:r>
              <w:rPr>
                <w:b/>
                <w:bCs/>
                <w:color w:val="1B3A6B"/>
              </w:rPr>
              <w:t>6</w:t>
            </w:r>
          </w:p>
        </w:tc>
      </w:tr>
      <w:tr w:rsidR="00D815D6" w14:paraId="4BB8BA89" w14:textId="77777777" w:rsidTr="000A671E">
        <w:trPr>
          <w:cantSplit/>
        </w:trPr>
        <w:tc>
          <w:tcPr>
            <w:tcW w:w="700" w:type="dxa"/>
            <w:tcMar>
              <w:top w:w="60" w:type="dxa"/>
              <w:left w:w="80" w:type="dxa"/>
              <w:bottom w:w="60" w:type="dxa"/>
              <w:right w:w="80" w:type="dxa"/>
            </w:tcMar>
            <w:vAlign w:val="center"/>
          </w:tcPr>
          <w:p w14:paraId="36D35CA9" w14:textId="77777777" w:rsidR="00D815D6" w:rsidRDefault="00D815D6" w:rsidP="00D815D6">
            <w:pPr>
              <w:jc w:val="center"/>
            </w:pPr>
            <w:r>
              <w:rPr>
                <w:b/>
                <w:bCs/>
                <w:color w:val="1B3A6B"/>
              </w:rPr>
              <w:lastRenderedPageBreak/>
              <w:t>4</w:t>
            </w:r>
          </w:p>
        </w:tc>
        <w:tc>
          <w:tcPr>
            <w:tcW w:w="8006" w:type="dxa"/>
            <w:tcMar>
              <w:top w:w="80" w:type="dxa"/>
              <w:left w:w="140" w:type="dxa"/>
              <w:bottom w:w="80" w:type="dxa"/>
              <w:right w:w="120" w:type="dxa"/>
            </w:tcMar>
            <w:vAlign w:val="center"/>
          </w:tcPr>
          <w:p w14:paraId="330C1927" w14:textId="77777777" w:rsidR="00D815D6" w:rsidRPr="00D815D6" w:rsidRDefault="00D815D6" w:rsidP="00D815D6">
            <w:pPr>
              <w:spacing w:after="60"/>
              <w:rPr>
                <w:rFonts w:asciiTheme="minorHAnsi" w:hAnsiTheme="minorHAnsi" w:cstheme="minorHAnsi"/>
                <w:sz w:val="19"/>
                <w:szCs w:val="19"/>
              </w:rPr>
            </w:pPr>
            <w:r w:rsidRPr="00D815D6">
              <w:rPr>
                <w:rFonts w:asciiTheme="minorHAnsi" w:hAnsiTheme="minorHAnsi" w:cstheme="minorHAnsi"/>
                <w:b/>
                <w:bCs/>
                <w:color w:val="8E2433"/>
                <w:sz w:val="19"/>
                <w:szCs w:val="19"/>
              </w:rPr>
              <w:t>Corporate Law, Governance and Competition Law</w:t>
            </w:r>
          </w:p>
          <w:p w14:paraId="722DCE33" w14:textId="77777777" w:rsidR="00D815D6" w:rsidRPr="00D815D6" w:rsidRDefault="00D815D6" w:rsidP="00D815D6">
            <w:pPr>
              <w:spacing w:after="80"/>
              <w:jc w:val="both"/>
              <w:rPr>
                <w:rFonts w:asciiTheme="minorHAnsi" w:hAnsiTheme="minorHAnsi" w:cstheme="minorHAnsi"/>
                <w:sz w:val="19"/>
                <w:szCs w:val="19"/>
              </w:rPr>
            </w:pPr>
            <w:r w:rsidRPr="00D815D6">
              <w:rPr>
                <w:rFonts w:asciiTheme="minorHAnsi" w:hAnsiTheme="minorHAnsi" w:cstheme="minorHAnsi"/>
                <w:b/>
                <w:bCs/>
                <w:sz w:val="19"/>
                <w:szCs w:val="19"/>
              </w:rPr>
              <w:t xml:space="preserve">Companies Act, 2013: </w:t>
            </w:r>
            <w:r w:rsidRPr="00D815D6">
              <w:rPr>
                <w:rFonts w:asciiTheme="minorHAnsi" w:hAnsiTheme="minorHAnsi" w:cstheme="minorHAnsi"/>
                <w:sz w:val="19"/>
                <w:szCs w:val="19"/>
              </w:rPr>
              <w:t>Types of Companies; Incorporation Process; Memorandum and Articles of Association; Prospectus and Share Capital.</w:t>
            </w:r>
          </w:p>
          <w:p w14:paraId="624C5CFB" w14:textId="77777777" w:rsidR="00D815D6" w:rsidRPr="00D815D6" w:rsidRDefault="00D815D6" w:rsidP="00D815D6">
            <w:pPr>
              <w:spacing w:after="80"/>
              <w:jc w:val="both"/>
              <w:rPr>
                <w:rFonts w:asciiTheme="minorHAnsi" w:hAnsiTheme="minorHAnsi" w:cstheme="minorHAnsi"/>
                <w:sz w:val="19"/>
                <w:szCs w:val="19"/>
              </w:rPr>
            </w:pPr>
            <w:r w:rsidRPr="00D815D6">
              <w:rPr>
                <w:rFonts w:asciiTheme="minorHAnsi" w:hAnsiTheme="minorHAnsi" w:cstheme="minorHAnsi"/>
                <w:b/>
                <w:bCs/>
                <w:sz w:val="19"/>
                <w:szCs w:val="19"/>
              </w:rPr>
              <w:t xml:space="preserve">Corporate Governance Framework: </w:t>
            </w:r>
            <w:r w:rsidRPr="00D815D6">
              <w:rPr>
                <w:rFonts w:asciiTheme="minorHAnsi" w:hAnsiTheme="minorHAnsi" w:cstheme="minorHAnsi"/>
                <w:sz w:val="19"/>
                <w:szCs w:val="19"/>
              </w:rPr>
              <w:t>Board Composition, Independent Directors, Related Party Transactions and SEBI (LODR) Regulations; Directors’ Duties and Liabilities; Corporate Social Responsibility under Section 135.</w:t>
            </w:r>
          </w:p>
          <w:p w14:paraId="2697FD19" w14:textId="77777777" w:rsidR="00D815D6" w:rsidRPr="00D815D6" w:rsidRDefault="00D815D6" w:rsidP="00D815D6">
            <w:pPr>
              <w:spacing w:after="80"/>
              <w:jc w:val="both"/>
              <w:rPr>
                <w:rFonts w:asciiTheme="minorHAnsi" w:hAnsiTheme="minorHAnsi" w:cstheme="minorHAnsi"/>
                <w:sz w:val="19"/>
                <w:szCs w:val="19"/>
              </w:rPr>
            </w:pPr>
            <w:r w:rsidRPr="00D815D6">
              <w:rPr>
                <w:rFonts w:asciiTheme="minorHAnsi" w:hAnsiTheme="minorHAnsi" w:cstheme="minorHAnsi"/>
                <w:b/>
                <w:bCs/>
                <w:sz w:val="19"/>
                <w:szCs w:val="19"/>
              </w:rPr>
              <w:t xml:space="preserve">Mergers, Acquisitions and Corporate Restructuring: </w:t>
            </w:r>
            <w:r w:rsidRPr="00D815D6">
              <w:rPr>
                <w:rFonts w:asciiTheme="minorHAnsi" w:hAnsiTheme="minorHAnsi" w:cstheme="minorHAnsi"/>
                <w:sz w:val="19"/>
                <w:szCs w:val="19"/>
              </w:rPr>
              <w:t>Legal Process, Due Diligence and Regulatory Approvals.</w:t>
            </w:r>
          </w:p>
          <w:p w14:paraId="2FD581D9" w14:textId="77777777" w:rsidR="00D815D6" w:rsidRPr="00D815D6" w:rsidRDefault="00D815D6" w:rsidP="00D815D6">
            <w:pPr>
              <w:spacing w:after="80"/>
              <w:jc w:val="both"/>
              <w:rPr>
                <w:rFonts w:asciiTheme="minorHAnsi" w:hAnsiTheme="minorHAnsi" w:cstheme="minorHAnsi"/>
                <w:sz w:val="19"/>
                <w:szCs w:val="19"/>
              </w:rPr>
            </w:pPr>
            <w:r w:rsidRPr="00D815D6">
              <w:rPr>
                <w:rFonts w:asciiTheme="minorHAnsi" w:hAnsiTheme="minorHAnsi" w:cstheme="minorHAnsi"/>
                <w:b/>
                <w:bCs/>
                <w:sz w:val="19"/>
                <w:szCs w:val="19"/>
              </w:rPr>
              <w:t xml:space="preserve">Competition Act, 2002: </w:t>
            </w:r>
            <w:r w:rsidRPr="00D815D6">
              <w:rPr>
                <w:rFonts w:asciiTheme="minorHAnsi" w:hAnsiTheme="minorHAnsi" w:cstheme="minorHAnsi"/>
                <w:sz w:val="19"/>
                <w:szCs w:val="19"/>
              </w:rPr>
              <w:t>Anti-Competitive Agreements, Abuse of Dominance, Regulation of Combinations and the Role of the Competition Commission of India (CCI).</w:t>
            </w:r>
          </w:p>
          <w:p w14:paraId="2CE32C89" w14:textId="77777777" w:rsidR="00D815D6" w:rsidRPr="00D815D6" w:rsidRDefault="00D815D6" w:rsidP="00D815D6">
            <w:pPr>
              <w:spacing w:after="80"/>
              <w:jc w:val="both"/>
              <w:rPr>
                <w:rFonts w:asciiTheme="minorHAnsi" w:hAnsiTheme="minorHAnsi" w:cstheme="minorHAnsi"/>
                <w:sz w:val="19"/>
                <w:szCs w:val="19"/>
              </w:rPr>
            </w:pPr>
            <w:r w:rsidRPr="00D815D6">
              <w:rPr>
                <w:rFonts w:asciiTheme="minorHAnsi" w:hAnsiTheme="minorHAnsi" w:cstheme="minorHAnsi"/>
                <w:b/>
                <w:bCs/>
                <w:sz w:val="19"/>
                <w:szCs w:val="19"/>
              </w:rPr>
              <w:t xml:space="preserve">Competition Law in Digital Markets: </w:t>
            </w:r>
            <w:r w:rsidRPr="00D815D6">
              <w:rPr>
                <w:rFonts w:asciiTheme="minorHAnsi" w:hAnsiTheme="minorHAnsi" w:cstheme="minorHAnsi"/>
                <w:sz w:val="19"/>
                <w:szCs w:val="19"/>
              </w:rPr>
              <w:t>Algorithmic Collusion, Self-Preferencing and Platform Regulation.</w:t>
            </w:r>
          </w:p>
          <w:p w14:paraId="3F7F09B7" w14:textId="22306148" w:rsidR="00D815D6" w:rsidRPr="00D815D6" w:rsidRDefault="00D815D6" w:rsidP="00D815D6">
            <w:pPr>
              <w:spacing w:before="28" w:after="28"/>
              <w:ind w:left="320" w:hanging="240"/>
              <w:rPr>
                <w:rFonts w:asciiTheme="minorHAnsi" w:hAnsiTheme="minorHAnsi" w:cstheme="minorHAnsi"/>
                <w:sz w:val="19"/>
                <w:szCs w:val="19"/>
              </w:rPr>
            </w:pPr>
            <w:r w:rsidRPr="00D815D6">
              <w:rPr>
                <w:rFonts w:asciiTheme="minorHAnsi" w:hAnsiTheme="minorHAnsi" w:cstheme="minorHAnsi"/>
                <w:b/>
                <w:bCs/>
                <w:sz w:val="19"/>
                <w:szCs w:val="19"/>
              </w:rPr>
              <w:t xml:space="preserve">Case Applications: </w:t>
            </w:r>
            <w:r w:rsidRPr="00D815D6">
              <w:rPr>
                <w:rFonts w:asciiTheme="minorHAnsi" w:hAnsiTheme="minorHAnsi" w:cstheme="minorHAnsi"/>
                <w:sz w:val="19"/>
                <w:szCs w:val="19"/>
              </w:rPr>
              <w:t>Corporate Governance Failure at Satyam; Tech Mahindra’s Acquisition of Satyam Computers; CCI Investigations into Digital Platforms.</w:t>
            </w:r>
          </w:p>
        </w:tc>
        <w:tc>
          <w:tcPr>
            <w:tcW w:w="1000" w:type="dxa"/>
            <w:tcMar>
              <w:top w:w="60" w:type="dxa"/>
              <w:left w:w="60" w:type="dxa"/>
              <w:bottom w:w="60" w:type="dxa"/>
              <w:right w:w="60" w:type="dxa"/>
            </w:tcMar>
            <w:vAlign w:val="center"/>
          </w:tcPr>
          <w:p w14:paraId="07A478BE" w14:textId="77777777" w:rsidR="00D815D6" w:rsidRDefault="00D815D6" w:rsidP="00D815D6">
            <w:pPr>
              <w:jc w:val="center"/>
            </w:pPr>
            <w:r>
              <w:rPr>
                <w:b/>
                <w:bCs/>
                <w:color w:val="1B3A6B"/>
              </w:rPr>
              <w:t>6</w:t>
            </w:r>
          </w:p>
        </w:tc>
      </w:tr>
      <w:tr w:rsidR="00D815D6" w14:paraId="37768376" w14:textId="77777777" w:rsidTr="000A671E">
        <w:trPr>
          <w:cantSplit/>
        </w:trPr>
        <w:tc>
          <w:tcPr>
            <w:tcW w:w="700" w:type="dxa"/>
            <w:tcMar>
              <w:top w:w="60" w:type="dxa"/>
              <w:left w:w="80" w:type="dxa"/>
              <w:bottom w:w="60" w:type="dxa"/>
              <w:right w:w="80" w:type="dxa"/>
            </w:tcMar>
            <w:vAlign w:val="center"/>
          </w:tcPr>
          <w:p w14:paraId="08D8E560" w14:textId="77777777" w:rsidR="00D815D6" w:rsidRDefault="00D815D6" w:rsidP="00D815D6">
            <w:pPr>
              <w:jc w:val="center"/>
            </w:pPr>
            <w:r>
              <w:rPr>
                <w:b/>
                <w:bCs/>
                <w:color w:val="1B3A6B"/>
              </w:rPr>
              <w:t>5</w:t>
            </w:r>
          </w:p>
        </w:tc>
        <w:tc>
          <w:tcPr>
            <w:tcW w:w="8006" w:type="dxa"/>
            <w:tcMar>
              <w:top w:w="80" w:type="dxa"/>
              <w:left w:w="140" w:type="dxa"/>
              <w:bottom w:w="80" w:type="dxa"/>
              <w:right w:w="120" w:type="dxa"/>
            </w:tcMar>
            <w:vAlign w:val="center"/>
          </w:tcPr>
          <w:p w14:paraId="61C87D00" w14:textId="77777777" w:rsidR="00D815D6" w:rsidRPr="00D815D6" w:rsidRDefault="00D815D6" w:rsidP="00D815D6">
            <w:pPr>
              <w:spacing w:after="60"/>
              <w:rPr>
                <w:rFonts w:asciiTheme="minorHAnsi" w:hAnsiTheme="minorHAnsi" w:cstheme="minorHAnsi"/>
                <w:sz w:val="19"/>
                <w:szCs w:val="19"/>
              </w:rPr>
            </w:pPr>
            <w:r w:rsidRPr="00D815D6">
              <w:rPr>
                <w:rFonts w:asciiTheme="minorHAnsi" w:hAnsiTheme="minorHAnsi" w:cstheme="minorHAnsi"/>
                <w:b/>
                <w:bCs/>
                <w:color w:val="8E2433"/>
                <w:sz w:val="19"/>
                <w:szCs w:val="19"/>
              </w:rPr>
              <w:t>Digital Law, Data Protection, Consumer Protection, IP and International Trade</w:t>
            </w:r>
          </w:p>
          <w:p w14:paraId="63704995" w14:textId="77777777" w:rsidR="00D815D6" w:rsidRPr="00D815D6" w:rsidRDefault="00D815D6" w:rsidP="00D815D6">
            <w:pPr>
              <w:spacing w:after="80"/>
              <w:jc w:val="both"/>
              <w:rPr>
                <w:rFonts w:asciiTheme="minorHAnsi" w:hAnsiTheme="minorHAnsi" w:cstheme="minorHAnsi"/>
                <w:sz w:val="19"/>
                <w:szCs w:val="19"/>
              </w:rPr>
            </w:pPr>
            <w:r w:rsidRPr="00D815D6">
              <w:rPr>
                <w:rFonts w:asciiTheme="minorHAnsi" w:hAnsiTheme="minorHAnsi" w:cstheme="minorHAnsi"/>
                <w:b/>
                <w:bCs/>
                <w:sz w:val="19"/>
                <w:szCs w:val="19"/>
              </w:rPr>
              <w:t xml:space="preserve">Digital Personal Data Protection Act, 2023: </w:t>
            </w:r>
            <w:r w:rsidRPr="00D815D6">
              <w:rPr>
                <w:rFonts w:asciiTheme="minorHAnsi" w:hAnsiTheme="minorHAnsi" w:cstheme="minorHAnsi"/>
                <w:sz w:val="19"/>
                <w:szCs w:val="19"/>
              </w:rPr>
              <w:t>Data Fiduciaries and Data Principals, Consent Framework, Cross-Border Data Transfer and Penalties.</w:t>
            </w:r>
          </w:p>
          <w:p w14:paraId="65C3B823" w14:textId="77777777" w:rsidR="00D815D6" w:rsidRPr="00D815D6" w:rsidRDefault="00D815D6" w:rsidP="00D815D6">
            <w:pPr>
              <w:spacing w:after="80"/>
              <w:jc w:val="both"/>
              <w:rPr>
                <w:rFonts w:asciiTheme="minorHAnsi" w:hAnsiTheme="minorHAnsi" w:cstheme="minorHAnsi"/>
                <w:sz w:val="19"/>
                <w:szCs w:val="19"/>
              </w:rPr>
            </w:pPr>
            <w:r w:rsidRPr="00D815D6">
              <w:rPr>
                <w:rFonts w:asciiTheme="minorHAnsi" w:hAnsiTheme="minorHAnsi" w:cstheme="minorHAnsi"/>
                <w:b/>
                <w:bCs/>
                <w:sz w:val="19"/>
                <w:szCs w:val="19"/>
              </w:rPr>
              <w:t xml:space="preserve">Information Technology Act, 2000 (as amended): </w:t>
            </w:r>
            <w:r w:rsidRPr="00D815D6">
              <w:rPr>
                <w:rFonts w:asciiTheme="minorHAnsi" w:hAnsiTheme="minorHAnsi" w:cstheme="minorHAnsi"/>
                <w:sz w:val="19"/>
                <w:szCs w:val="19"/>
              </w:rPr>
              <w:t>Cyber Offences, Data Breach Liability and Online Dispute Resolution.</w:t>
            </w:r>
          </w:p>
          <w:p w14:paraId="207BFCD8" w14:textId="77777777" w:rsidR="00D815D6" w:rsidRPr="00D815D6" w:rsidRDefault="00D815D6" w:rsidP="00D815D6">
            <w:pPr>
              <w:spacing w:after="80"/>
              <w:jc w:val="both"/>
              <w:rPr>
                <w:rFonts w:asciiTheme="minorHAnsi" w:hAnsiTheme="minorHAnsi" w:cstheme="minorHAnsi"/>
                <w:sz w:val="19"/>
                <w:szCs w:val="19"/>
              </w:rPr>
            </w:pPr>
            <w:r w:rsidRPr="00D815D6">
              <w:rPr>
                <w:rFonts w:asciiTheme="minorHAnsi" w:hAnsiTheme="minorHAnsi" w:cstheme="minorHAnsi"/>
                <w:b/>
                <w:bCs/>
                <w:sz w:val="19"/>
                <w:szCs w:val="19"/>
              </w:rPr>
              <w:t xml:space="preserve">Consumer Protection Act, 2019: </w:t>
            </w:r>
            <w:r w:rsidRPr="00D815D6">
              <w:rPr>
                <w:rFonts w:asciiTheme="minorHAnsi" w:hAnsiTheme="minorHAnsi" w:cstheme="minorHAnsi"/>
                <w:sz w:val="19"/>
                <w:szCs w:val="19"/>
              </w:rPr>
              <w:t>Consumer Rights, E-Commerce Rules, Product Liability and the Central Consumer Protection Authority (CCPA).</w:t>
            </w:r>
          </w:p>
          <w:p w14:paraId="4F9FB40C" w14:textId="77777777" w:rsidR="00D815D6" w:rsidRPr="00D815D6" w:rsidRDefault="00D815D6" w:rsidP="00D815D6">
            <w:pPr>
              <w:spacing w:after="80"/>
              <w:jc w:val="both"/>
              <w:rPr>
                <w:rFonts w:asciiTheme="minorHAnsi" w:hAnsiTheme="minorHAnsi" w:cstheme="minorHAnsi"/>
                <w:sz w:val="19"/>
                <w:szCs w:val="19"/>
              </w:rPr>
            </w:pPr>
            <w:r w:rsidRPr="00D815D6">
              <w:rPr>
                <w:rFonts w:asciiTheme="minorHAnsi" w:hAnsiTheme="minorHAnsi" w:cstheme="minorHAnsi"/>
                <w:b/>
                <w:bCs/>
                <w:sz w:val="19"/>
                <w:szCs w:val="19"/>
              </w:rPr>
              <w:t xml:space="preserve">Intellectual Property Law: </w:t>
            </w:r>
            <w:r w:rsidRPr="00D815D6">
              <w:rPr>
                <w:rFonts w:asciiTheme="minorHAnsi" w:hAnsiTheme="minorHAnsi" w:cstheme="minorHAnsi"/>
                <w:sz w:val="19"/>
                <w:szCs w:val="19"/>
              </w:rPr>
              <w:t>Patents, Copyrights, Trademarks, Designs and Geographical Indications; AI and Copyright in AI-Generated Content.</w:t>
            </w:r>
          </w:p>
          <w:p w14:paraId="3CCB186F" w14:textId="77777777" w:rsidR="00D815D6" w:rsidRPr="00D815D6" w:rsidRDefault="00D815D6" w:rsidP="00D815D6">
            <w:pPr>
              <w:spacing w:after="80"/>
              <w:jc w:val="both"/>
              <w:rPr>
                <w:rFonts w:asciiTheme="minorHAnsi" w:hAnsiTheme="minorHAnsi" w:cstheme="minorHAnsi"/>
                <w:sz w:val="19"/>
                <w:szCs w:val="19"/>
              </w:rPr>
            </w:pPr>
            <w:r w:rsidRPr="00D815D6">
              <w:rPr>
                <w:rFonts w:asciiTheme="minorHAnsi" w:hAnsiTheme="minorHAnsi" w:cstheme="minorHAnsi"/>
                <w:b/>
                <w:bCs/>
                <w:sz w:val="19"/>
                <w:szCs w:val="19"/>
              </w:rPr>
              <w:t xml:space="preserve">Patent Law and Public Health: </w:t>
            </w:r>
            <w:r w:rsidRPr="00D815D6">
              <w:rPr>
                <w:rFonts w:asciiTheme="minorHAnsi" w:hAnsiTheme="minorHAnsi" w:cstheme="minorHAnsi"/>
                <w:sz w:val="19"/>
                <w:szCs w:val="19"/>
              </w:rPr>
              <w:t>Section 3(d) of the Patents Act, 1970 and the Novartis v. Union of India Judgment (2013).</w:t>
            </w:r>
          </w:p>
          <w:p w14:paraId="56753FA0" w14:textId="77777777" w:rsidR="00D815D6" w:rsidRPr="00D815D6" w:rsidRDefault="00D815D6" w:rsidP="00D815D6">
            <w:pPr>
              <w:spacing w:after="80"/>
              <w:jc w:val="both"/>
              <w:rPr>
                <w:rFonts w:asciiTheme="minorHAnsi" w:hAnsiTheme="minorHAnsi" w:cstheme="minorHAnsi"/>
                <w:sz w:val="19"/>
                <w:szCs w:val="19"/>
              </w:rPr>
            </w:pPr>
            <w:r w:rsidRPr="00D815D6">
              <w:rPr>
                <w:rFonts w:asciiTheme="minorHAnsi" w:hAnsiTheme="minorHAnsi" w:cstheme="minorHAnsi"/>
                <w:b/>
                <w:bCs/>
                <w:sz w:val="19"/>
                <w:szCs w:val="19"/>
              </w:rPr>
              <w:t xml:space="preserve">International Trade and Commercial Law: </w:t>
            </w:r>
            <w:r w:rsidRPr="00D815D6">
              <w:rPr>
                <w:rFonts w:asciiTheme="minorHAnsi" w:hAnsiTheme="minorHAnsi" w:cstheme="minorHAnsi"/>
                <w:sz w:val="19"/>
                <w:szCs w:val="19"/>
              </w:rPr>
              <w:t>International Sale Contracts under CISG; WTO Framework, India’s FTAs and Cross-Border Dispute Resolution.</w:t>
            </w:r>
          </w:p>
          <w:p w14:paraId="33A99D41" w14:textId="6B16CD24" w:rsidR="00D815D6" w:rsidRPr="00D815D6" w:rsidRDefault="00D815D6" w:rsidP="00D815D6">
            <w:pPr>
              <w:spacing w:before="28" w:after="28"/>
              <w:ind w:left="320" w:hanging="240"/>
              <w:rPr>
                <w:rFonts w:asciiTheme="minorHAnsi" w:hAnsiTheme="minorHAnsi" w:cstheme="minorHAnsi"/>
                <w:sz w:val="19"/>
                <w:szCs w:val="19"/>
              </w:rPr>
            </w:pPr>
            <w:r w:rsidRPr="00D815D6">
              <w:rPr>
                <w:rFonts w:asciiTheme="minorHAnsi" w:hAnsiTheme="minorHAnsi" w:cstheme="minorHAnsi"/>
                <w:b/>
                <w:bCs/>
                <w:sz w:val="19"/>
                <w:szCs w:val="19"/>
              </w:rPr>
              <w:t xml:space="preserve">Case Applications: </w:t>
            </w:r>
            <w:r w:rsidRPr="00D815D6">
              <w:rPr>
                <w:rFonts w:asciiTheme="minorHAnsi" w:hAnsiTheme="minorHAnsi" w:cstheme="minorHAnsi"/>
                <w:sz w:val="19"/>
                <w:szCs w:val="19"/>
              </w:rPr>
              <w:t>Facebook–Cambridge Analytica and Data Privacy Regulation; Novartis v. Union of India (Patent Law).</w:t>
            </w:r>
          </w:p>
        </w:tc>
        <w:tc>
          <w:tcPr>
            <w:tcW w:w="1000" w:type="dxa"/>
            <w:tcMar>
              <w:top w:w="60" w:type="dxa"/>
              <w:left w:w="60" w:type="dxa"/>
              <w:bottom w:w="60" w:type="dxa"/>
              <w:right w:w="60" w:type="dxa"/>
            </w:tcMar>
            <w:vAlign w:val="center"/>
          </w:tcPr>
          <w:p w14:paraId="0D029764" w14:textId="77777777" w:rsidR="00D815D6" w:rsidRDefault="00D815D6" w:rsidP="00D815D6">
            <w:pPr>
              <w:jc w:val="center"/>
            </w:pPr>
            <w:r>
              <w:rPr>
                <w:b/>
                <w:bCs/>
                <w:color w:val="1B3A6B"/>
              </w:rPr>
              <w:t>6</w:t>
            </w:r>
          </w:p>
        </w:tc>
      </w:tr>
      <w:tr w:rsidR="00AA13D1" w14:paraId="54822DC0" w14:textId="77777777" w:rsidTr="000A671E">
        <w:trPr>
          <w:cantSplit/>
        </w:trPr>
        <w:tc>
          <w:tcPr>
            <w:tcW w:w="8706" w:type="dxa"/>
            <w:gridSpan w:val="2"/>
            <w:shd w:val="clear" w:color="auto" w:fill="1F3864" w:themeFill="accent1" w:themeFillShade="80"/>
            <w:tcMar>
              <w:top w:w="80" w:type="dxa"/>
              <w:left w:w="120" w:type="dxa"/>
              <w:bottom w:w="80" w:type="dxa"/>
              <w:right w:w="120" w:type="dxa"/>
            </w:tcMar>
          </w:tcPr>
          <w:p w14:paraId="589E1F2E" w14:textId="77777777" w:rsidR="00AA13D1" w:rsidRDefault="006145A5">
            <w:pPr>
              <w:jc w:val="right"/>
            </w:pPr>
            <w:r>
              <w:rPr>
                <w:b/>
                <w:bCs/>
                <w:color w:val="FFFFFF"/>
                <w:sz w:val="21"/>
                <w:szCs w:val="21"/>
              </w:rPr>
              <w:t>Total</w:t>
            </w:r>
          </w:p>
        </w:tc>
        <w:tc>
          <w:tcPr>
            <w:tcW w:w="1000" w:type="dxa"/>
            <w:shd w:val="clear" w:color="auto" w:fill="1F3864" w:themeFill="accent1" w:themeFillShade="80"/>
            <w:tcMar>
              <w:top w:w="80" w:type="dxa"/>
              <w:left w:w="60" w:type="dxa"/>
              <w:bottom w:w="80" w:type="dxa"/>
              <w:right w:w="60" w:type="dxa"/>
            </w:tcMar>
            <w:vAlign w:val="center"/>
          </w:tcPr>
          <w:p w14:paraId="451F1555" w14:textId="77777777" w:rsidR="00AA13D1" w:rsidRDefault="006145A5">
            <w:pPr>
              <w:jc w:val="center"/>
            </w:pPr>
            <w:r>
              <w:rPr>
                <w:b/>
                <w:bCs/>
                <w:color w:val="FFFFFF"/>
                <w:sz w:val="21"/>
                <w:szCs w:val="21"/>
              </w:rPr>
              <w:t>30</w:t>
            </w:r>
          </w:p>
        </w:tc>
      </w:tr>
    </w:tbl>
    <w:p w14:paraId="212210B8" w14:textId="7A6762BF" w:rsidR="00AA13D1" w:rsidRDefault="00AA13D1">
      <w:pPr>
        <w:spacing w:before="200"/>
      </w:pPr>
    </w:p>
    <w:p w14:paraId="32E820E3" w14:textId="77777777" w:rsidR="00AA13D1" w:rsidRDefault="006145A5">
      <w:pPr>
        <w:pBdr>
          <w:bottom w:val="single" w:sz="6" w:space="2" w:color="C8161D"/>
        </w:pBdr>
        <w:spacing w:before="240" w:after="80"/>
      </w:pPr>
      <w:r>
        <w:rPr>
          <w:b/>
          <w:bCs/>
          <w:color w:val="1B3A6B"/>
          <w:sz w:val="24"/>
          <w:szCs w:val="24"/>
        </w:rPr>
        <w:t>Recommended Industry-Based Learning Activities</w:t>
      </w:r>
    </w:p>
    <w:p w14:paraId="0E42673B" w14:textId="77777777" w:rsidR="00AA13D1" w:rsidRDefault="006145A5">
      <w:pPr>
        <w:spacing w:before="160" w:after="60"/>
      </w:pPr>
      <w:r>
        <w:rPr>
          <w:b/>
          <w:bCs/>
          <w:color w:val="1B3A6B"/>
          <w:sz w:val="22"/>
          <w:szCs w:val="22"/>
        </w:rPr>
        <w:t>Case Studies</w:t>
      </w:r>
    </w:p>
    <w:p w14:paraId="3815F997" w14:textId="77777777" w:rsidR="00B7792A" w:rsidRDefault="00B7792A" w:rsidP="00B7792A">
      <w:pPr>
        <w:spacing w:before="60" w:after="60"/>
      </w:pPr>
      <w:r>
        <w:t>All case studies below are available through Harvard Business Publishing (hbsp.harvard.edu) or IIM case repositories. Faculty are encouraged to register as Educators on HBSP.</w:t>
      </w:r>
    </w:p>
    <w:p w14:paraId="34C3E7CB" w14:textId="77777777" w:rsidR="00AA13D1" w:rsidRDefault="00AA13D1">
      <w:pPr>
        <w:spacing w:before="4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6"/>
        <w:gridCol w:w="3000"/>
        <w:gridCol w:w="3500"/>
      </w:tblGrid>
      <w:tr w:rsidR="00AA13D1" w14:paraId="487F8E4A" w14:textId="77777777" w:rsidTr="008223E8">
        <w:trPr>
          <w:cantSplit/>
        </w:trPr>
        <w:tc>
          <w:tcPr>
            <w:tcW w:w="3206" w:type="dxa"/>
            <w:shd w:val="clear" w:color="auto" w:fill="1B3A6B"/>
            <w:tcMar>
              <w:top w:w="100" w:type="dxa"/>
              <w:left w:w="120" w:type="dxa"/>
              <w:bottom w:w="100" w:type="dxa"/>
              <w:right w:w="120" w:type="dxa"/>
            </w:tcMar>
            <w:vAlign w:val="center"/>
          </w:tcPr>
          <w:p w14:paraId="5AA024AC" w14:textId="77777777" w:rsidR="00AA13D1" w:rsidRDefault="006145A5">
            <w:pPr>
              <w:jc w:val="center"/>
            </w:pPr>
            <w:r>
              <w:rPr>
                <w:b/>
                <w:bCs/>
                <w:color w:val="FFFFFF"/>
              </w:rPr>
              <w:t>Case Study Title</w:t>
            </w:r>
          </w:p>
        </w:tc>
        <w:tc>
          <w:tcPr>
            <w:tcW w:w="3000" w:type="dxa"/>
            <w:shd w:val="clear" w:color="auto" w:fill="1B3A6B"/>
            <w:tcMar>
              <w:top w:w="100" w:type="dxa"/>
              <w:left w:w="120" w:type="dxa"/>
              <w:bottom w:w="100" w:type="dxa"/>
              <w:right w:w="120" w:type="dxa"/>
            </w:tcMar>
            <w:vAlign w:val="center"/>
          </w:tcPr>
          <w:p w14:paraId="4CABB0BA" w14:textId="77777777" w:rsidR="00AA13D1" w:rsidRDefault="006145A5">
            <w:pPr>
              <w:jc w:val="center"/>
            </w:pPr>
            <w:r>
              <w:rPr>
                <w:b/>
                <w:bCs/>
                <w:color w:val="FFFFFF"/>
              </w:rPr>
              <w:t>Communication Concept Covered</w:t>
            </w:r>
          </w:p>
        </w:tc>
        <w:tc>
          <w:tcPr>
            <w:tcW w:w="3500" w:type="dxa"/>
            <w:shd w:val="clear" w:color="auto" w:fill="1B3A6B"/>
            <w:tcMar>
              <w:top w:w="100" w:type="dxa"/>
              <w:left w:w="120" w:type="dxa"/>
              <w:bottom w:w="100" w:type="dxa"/>
              <w:right w:w="120" w:type="dxa"/>
            </w:tcMar>
            <w:vAlign w:val="center"/>
          </w:tcPr>
          <w:p w14:paraId="71A7AC07" w14:textId="77777777" w:rsidR="00AA13D1" w:rsidRDefault="006145A5">
            <w:pPr>
              <w:jc w:val="center"/>
            </w:pPr>
            <w:r>
              <w:rPr>
                <w:b/>
                <w:bCs/>
                <w:color w:val="FFFFFF"/>
              </w:rPr>
              <w:t>Source / Access Link</w:t>
            </w:r>
          </w:p>
        </w:tc>
      </w:tr>
      <w:tr w:rsidR="008E13C4" w14:paraId="7B09210C" w14:textId="77777777" w:rsidTr="008223E8">
        <w:trPr>
          <w:cantSplit/>
        </w:trPr>
        <w:tc>
          <w:tcPr>
            <w:tcW w:w="3206" w:type="dxa"/>
            <w:tcMar>
              <w:top w:w="80" w:type="dxa"/>
              <w:left w:w="120" w:type="dxa"/>
              <w:bottom w:w="80" w:type="dxa"/>
              <w:right w:w="100" w:type="dxa"/>
            </w:tcMar>
            <w:vAlign w:val="center"/>
          </w:tcPr>
          <w:p w14:paraId="0BCA699F" w14:textId="14E24672" w:rsidR="008E13C4" w:rsidRPr="008E13C4" w:rsidRDefault="008E13C4" w:rsidP="008E13C4">
            <w:pPr>
              <w:spacing w:before="20"/>
              <w:rPr>
                <w:rFonts w:asciiTheme="minorHAnsi" w:hAnsiTheme="minorHAnsi" w:cstheme="minorHAnsi"/>
                <w:sz w:val="19"/>
                <w:szCs w:val="19"/>
              </w:rPr>
            </w:pPr>
            <w:r w:rsidRPr="008E13C4">
              <w:rPr>
                <w:rFonts w:asciiTheme="minorHAnsi" w:hAnsiTheme="minorHAnsi" w:cstheme="minorHAnsi"/>
                <w:b/>
                <w:bCs/>
                <w:sz w:val="19"/>
                <w:szCs w:val="19"/>
              </w:rPr>
              <w:t>Tech Mahindra and the Acquisition of Satyam Computers (A)</w:t>
            </w:r>
          </w:p>
        </w:tc>
        <w:tc>
          <w:tcPr>
            <w:tcW w:w="3000" w:type="dxa"/>
            <w:tcMar>
              <w:top w:w="80" w:type="dxa"/>
              <w:left w:w="100" w:type="dxa"/>
              <w:bottom w:w="80" w:type="dxa"/>
              <w:right w:w="100" w:type="dxa"/>
            </w:tcMar>
            <w:vAlign w:val="center"/>
          </w:tcPr>
          <w:p w14:paraId="6F42B839" w14:textId="0CD9C815" w:rsidR="008E13C4" w:rsidRPr="008E13C4" w:rsidRDefault="008E13C4" w:rsidP="008E13C4">
            <w:pPr>
              <w:rPr>
                <w:rFonts w:asciiTheme="minorHAnsi" w:hAnsiTheme="minorHAnsi" w:cstheme="minorHAnsi"/>
                <w:sz w:val="19"/>
                <w:szCs w:val="19"/>
              </w:rPr>
            </w:pPr>
            <w:r w:rsidRPr="008E13C4">
              <w:rPr>
                <w:rFonts w:asciiTheme="minorHAnsi" w:hAnsiTheme="minorHAnsi" w:cstheme="minorHAnsi"/>
                <w:sz w:val="19"/>
                <w:szCs w:val="19"/>
              </w:rPr>
              <w:t>Corporate governance failure, M&amp;A due diligence in distressed acquisitions, regulatory intervention and restoring stakeholder trust</w:t>
            </w:r>
          </w:p>
        </w:tc>
        <w:tc>
          <w:tcPr>
            <w:tcW w:w="3500" w:type="dxa"/>
            <w:tcMar>
              <w:top w:w="80" w:type="dxa"/>
              <w:left w:w="100" w:type="dxa"/>
              <w:bottom w:w="80" w:type="dxa"/>
              <w:right w:w="120" w:type="dxa"/>
            </w:tcMar>
            <w:vAlign w:val="center"/>
          </w:tcPr>
          <w:p w14:paraId="633888C3" w14:textId="77777777" w:rsidR="008E13C4" w:rsidRPr="008E13C4" w:rsidRDefault="008E13C4" w:rsidP="008E13C4">
            <w:pPr>
              <w:rPr>
                <w:rFonts w:asciiTheme="minorHAnsi" w:hAnsiTheme="minorHAnsi" w:cstheme="minorHAnsi"/>
                <w:sz w:val="19"/>
                <w:szCs w:val="19"/>
              </w:rPr>
            </w:pPr>
            <w:r w:rsidRPr="008E13C4">
              <w:rPr>
                <w:rFonts w:asciiTheme="minorHAnsi" w:hAnsiTheme="minorHAnsi" w:cstheme="minorHAnsi"/>
                <w:b/>
                <w:bCs/>
                <w:sz w:val="19"/>
                <w:szCs w:val="19"/>
              </w:rPr>
              <w:t>Harvard Business School (Case 114-049)</w:t>
            </w:r>
          </w:p>
          <w:p w14:paraId="08DC006E" w14:textId="0AE38519" w:rsidR="008E13C4" w:rsidRPr="008E13C4" w:rsidRDefault="008E13C4" w:rsidP="008E13C4">
            <w:pPr>
              <w:spacing w:before="20"/>
              <w:rPr>
                <w:rFonts w:asciiTheme="minorHAnsi" w:hAnsiTheme="minorHAnsi" w:cstheme="minorHAnsi"/>
                <w:sz w:val="19"/>
                <w:szCs w:val="19"/>
              </w:rPr>
            </w:pPr>
            <w:r w:rsidRPr="008E13C4">
              <w:rPr>
                <w:rFonts w:asciiTheme="minorHAnsi" w:hAnsiTheme="minorHAnsi" w:cstheme="minorHAnsi"/>
                <w:sz w:val="19"/>
                <w:szCs w:val="19"/>
              </w:rPr>
              <w:t>hbsp.harvard.edu/product/114049-PDF-ENG</w:t>
            </w:r>
          </w:p>
        </w:tc>
      </w:tr>
      <w:tr w:rsidR="008E13C4" w14:paraId="49253B44" w14:textId="77777777" w:rsidTr="008223E8">
        <w:trPr>
          <w:cantSplit/>
        </w:trPr>
        <w:tc>
          <w:tcPr>
            <w:tcW w:w="3206" w:type="dxa"/>
            <w:tcMar>
              <w:top w:w="80" w:type="dxa"/>
              <w:left w:w="120" w:type="dxa"/>
              <w:bottom w:w="80" w:type="dxa"/>
              <w:right w:w="100" w:type="dxa"/>
            </w:tcMar>
            <w:vAlign w:val="center"/>
          </w:tcPr>
          <w:p w14:paraId="17D110F5" w14:textId="5575C4E8" w:rsidR="008E13C4" w:rsidRPr="008E13C4" w:rsidRDefault="008E13C4" w:rsidP="008E13C4">
            <w:pPr>
              <w:spacing w:before="20"/>
              <w:rPr>
                <w:rFonts w:asciiTheme="minorHAnsi" w:hAnsiTheme="minorHAnsi" w:cstheme="minorHAnsi"/>
                <w:sz w:val="19"/>
                <w:szCs w:val="19"/>
              </w:rPr>
            </w:pPr>
            <w:r w:rsidRPr="008E13C4">
              <w:rPr>
                <w:rFonts w:asciiTheme="minorHAnsi" w:hAnsiTheme="minorHAnsi" w:cstheme="minorHAnsi"/>
                <w:b/>
                <w:bCs/>
                <w:sz w:val="19"/>
                <w:szCs w:val="19"/>
              </w:rPr>
              <w:lastRenderedPageBreak/>
              <w:t>Corporate Governance Failure at Satyam</w:t>
            </w:r>
          </w:p>
        </w:tc>
        <w:tc>
          <w:tcPr>
            <w:tcW w:w="3000" w:type="dxa"/>
            <w:tcMar>
              <w:top w:w="80" w:type="dxa"/>
              <w:left w:w="100" w:type="dxa"/>
              <w:bottom w:w="80" w:type="dxa"/>
              <w:right w:w="100" w:type="dxa"/>
            </w:tcMar>
            <w:vAlign w:val="center"/>
          </w:tcPr>
          <w:p w14:paraId="4A844199" w14:textId="54501D2F" w:rsidR="008E13C4" w:rsidRPr="008E13C4" w:rsidRDefault="008E13C4" w:rsidP="008E13C4">
            <w:pPr>
              <w:rPr>
                <w:rFonts w:asciiTheme="minorHAnsi" w:hAnsiTheme="minorHAnsi" w:cstheme="minorHAnsi"/>
                <w:sz w:val="19"/>
                <w:szCs w:val="19"/>
              </w:rPr>
            </w:pPr>
            <w:r w:rsidRPr="008E13C4">
              <w:rPr>
                <w:rFonts w:asciiTheme="minorHAnsi" w:hAnsiTheme="minorHAnsi" w:cstheme="minorHAnsi"/>
                <w:sz w:val="19"/>
                <w:szCs w:val="19"/>
              </w:rPr>
              <w:t>Role of promoters, independent directors and auditors in governance failure; whistle-blowing and regulatory response under company law</w:t>
            </w:r>
          </w:p>
        </w:tc>
        <w:tc>
          <w:tcPr>
            <w:tcW w:w="3500" w:type="dxa"/>
            <w:tcMar>
              <w:top w:w="80" w:type="dxa"/>
              <w:left w:w="100" w:type="dxa"/>
              <w:bottom w:w="80" w:type="dxa"/>
              <w:right w:w="120" w:type="dxa"/>
            </w:tcMar>
            <w:vAlign w:val="center"/>
          </w:tcPr>
          <w:p w14:paraId="5FD6A416" w14:textId="77777777" w:rsidR="008E13C4" w:rsidRPr="008E13C4" w:rsidRDefault="008E13C4" w:rsidP="008E13C4">
            <w:pPr>
              <w:rPr>
                <w:rFonts w:asciiTheme="minorHAnsi" w:hAnsiTheme="minorHAnsi" w:cstheme="minorHAnsi"/>
                <w:sz w:val="19"/>
                <w:szCs w:val="19"/>
              </w:rPr>
            </w:pPr>
            <w:r w:rsidRPr="008E13C4">
              <w:rPr>
                <w:rFonts w:asciiTheme="minorHAnsi" w:hAnsiTheme="minorHAnsi" w:cstheme="minorHAnsi"/>
                <w:b/>
                <w:bCs/>
                <w:sz w:val="19"/>
                <w:szCs w:val="19"/>
              </w:rPr>
              <w:t>Asia Case Research Centre, University of Hong Kong (via Harvard Business Publishing)</w:t>
            </w:r>
          </w:p>
          <w:p w14:paraId="6BB9920F" w14:textId="4861B8B5" w:rsidR="008E13C4" w:rsidRPr="008E13C4" w:rsidRDefault="008E13C4" w:rsidP="008E13C4">
            <w:pPr>
              <w:spacing w:before="20"/>
              <w:rPr>
                <w:rFonts w:asciiTheme="minorHAnsi" w:hAnsiTheme="minorHAnsi" w:cstheme="minorHAnsi"/>
                <w:sz w:val="19"/>
                <w:szCs w:val="19"/>
              </w:rPr>
            </w:pPr>
            <w:r w:rsidRPr="008E13C4">
              <w:rPr>
                <w:rFonts w:asciiTheme="minorHAnsi" w:hAnsiTheme="minorHAnsi" w:cstheme="minorHAnsi"/>
                <w:sz w:val="19"/>
                <w:szCs w:val="19"/>
              </w:rPr>
              <w:t>hbsp.harvard.edu/product/HKU889-PDF-ENG</w:t>
            </w:r>
          </w:p>
        </w:tc>
      </w:tr>
      <w:tr w:rsidR="008E13C4" w14:paraId="6CE80ECD" w14:textId="77777777" w:rsidTr="008223E8">
        <w:trPr>
          <w:cantSplit/>
        </w:trPr>
        <w:tc>
          <w:tcPr>
            <w:tcW w:w="3206" w:type="dxa"/>
            <w:tcMar>
              <w:top w:w="80" w:type="dxa"/>
              <w:left w:w="120" w:type="dxa"/>
              <w:bottom w:w="80" w:type="dxa"/>
              <w:right w:w="100" w:type="dxa"/>
            </w:tcMar>
            <w:vAlign w:val="center"/>
          </w:tcPr>
          <w:p w14:paraId="4D4820DC" w14:textId="67F7D3FD" w:rsidR="008E13C4" w:rsidRPr="008E13C4" w:rsidRDefault="008E13C4" w:rsidP="008E13C4">
            <w:pPr>
              <w:spacing w:before="20"/>
              <w:rPr>
                <w:rFonts w:asciiTheme="minorHAnsi" w:hAnsiTheme="minorHAnsi" w:cstheme="minorHAnsi"/>
                <w:sz w:val="19"/>
                <w:szCs w:val="19"/>
              </w:rPr>
            </w:pPr>
            <w:r w:rsidRPr="008E13C4">
              <w:rPr>
                <w:rFonts w:asciiTheme="minorHAnsi" w:hAnsiTheme="minorHAnsi" w:cstheme="minorHAnsi"/>
                <w:b/>
                <w:bCs/>
                <w:sz w:val="19"/>
                <w:szCs w:val="19"/>
              </w:rPr>
              <w:t>Facebook Confronts a Crisis of Trust</w:t>
            </w:r>
          </w:p>
        </w:tc>
        <w:tc>
          <w:tcPr>
            <w:tcW w:w="3000" w:type="dxa"/>
            <w:tcMar>
              <w:top w:w="80" w:type="dxa"/>
              <w:left w:w="100" w:type="dxa"/>
              <w:bottom w:w="80" w:type="dxa"/>
              <w:right w:w="100" w:type="dxa"/>
            </w:tcMar>
            <w:vAlign w:val="center"/>
          </w:tcPr>
          <w:p w14:paraId="632166D2" w14:textId="0E5A91B9" w:rsidR="008E13C4" w:rsidRPr="008E13C4" w:rsidRDefault="008E13C4" w:rsidP="008E13C4">
            <w:pPr>
              <w:rPr>
                <w:rFonts w:asciiTheme="minorHAnsi" w:hAnsiTheme="minorHAnsi" w:cstheme="minorHAnsi"/>
                <w:sz w:val="19"/>
                <w:szCs w:val="19"/>
              </w:rPr>
            </w:pPr>
            <w:r w:rsidRPr="008E13C4">
              <w:rPr>
                <w:rFonts w:asciiTheme="minorHAnsi" w:hAnsiTheme="minorHAnsi" w:cstheme="minorHAnsi"/>
                <w:sz w:val="19"/>
                <w:szCs w:val="19"/>
              </w:rPr>
              <w:t>Data privacy regulation, platform governance, and the regulatory and reputational risk of data misuse</w:t>
            </w:r>
          </w:p>
        </w:tc>
        <w:tc>
          <w:tcPr>
            <w:tcW w:w="3500" w:type="dxa"/>
            <w:tcMar>
              <w:top w:w="80" w:type="dxa"/>
              <w:left w:w="100" w:type="dxa"/>
              <w:bottom w:w="80" w:type="dxa"/>
              <w:right w:w="120" w:type="dxa"/>
            </w:tcMar>
            <w:vAlign w:val="center"/>
          </w:tcPr>
          <w:p w14:paraId="4A157F99" w14:textId="77777777" w:rsidR="008E13C4" w:rsidRPr="008E13C4" w:rsidRDefault="008E13C4" w:rsidP="008E13C4">
            <w:pPr>
              <w:rPr>
                <w:rFonts w:asciiTheme="minorHAnsi" w:hAnsiTheme="minorHAnsi" w:cstheme="minorHAnsi"/>
                <w:sz w:val="19"/>
                <w:szCs w:val="19"/>
              </w:rPr>
            </w:pPr>
            <w:r w:rsidRPr="008E13C4">
              <w:rPr>
                <w:rFonts w:asciiTheme="minorHAnsi" w:hAnsiTheme="minorHAnsi" w:cstheme="minorHAnsi"/>
                <w:b/>
                <w:bCs/>
                <w:sz w:val="19"/>
                <w:szCs w:val="19"/>
              </w:rPr>
              <w:t>Harvard Business School (Case 318-145)</w:t>
            </w:r>
          </w:p>
          <w:p w14:paraId="276871F2" w14:textId="35CCFBBB" w:rsidR="008E13C4" w:rsidRPr="008E13C4" w:rsidRDefault="008E13C4" w:rsidP="008E13C4">
            <w:pPr>
              <w:spacing w:before="20"/>
              <w:rPr>
                <w:rFonts w:asciiTheme="minorHAnsi" w:hAnsiTheme="minorHAnsi" w:cstheme="minorHAnsi"/>
                <w:sz w:val="19"/>
                <w:szCs w:val="19"/>
              </w:rPr>
            </w:pPr>
            <w:r w:rsidRPr="008E13C4">
              <w:rPr>
                <w:rFonts w:asciiTheme="minorHAnsi" w:hAnsiTheme="minorHAnsi" w:cstheme="minorHAnsi"/>
                <w:sz w:val="19"/>
                <w:szCs w:val="19"/>
              </w:rPr>
              <w:t>hbsp.harvard.edu/product/318145-PDF-ENG</w:t>
            </w:r>
          </w:p>
        </w:tc>
      </w:tr>
      <w:tr w:rsidR="008E13C4" w14:paraId="24E5E2DA" w14:textId="77777777" w:rsidTr="008223E8">
        <w:trPr>
          <w:cantSplit/>
        </w:trPr>
        <w:tc>
          <w:tcPr>
            <w:tcW w:w="3206" w:type="dxa"/>
            <w:tcMar>
              <w:top w:w="80" w:type="dxa"/>
              <w:left w:w="120" w:type="dxa"/>
              <w:bottom w:w="80" w:type="dxa"/>
              <w:right w:w="100" w:type="dxa"/>
            </w:tcMar>
            <w:vAlign w:val="center"/>
          </w:tcPr>
          <w:p w14:paraId="3E155244" w14:textId="13E20509" w:rsidR="008E13C4" w:rsidRPr="008E13C4" w:rsidRDefault="008E13C4" w:rsidP="008E13C4">
            <w:pPr>
              <w:spacing w:before="20"/>
              <w:rPr>
                <w:rFonts w:asciiTheme="minorHAnsi" w:hAnsiTheme="minorHAnsi" w:cstheme="minorHAnsi"/>
                <w:sz w:val="19"/>
                <w:szCs w:val="19"/>
              </w:rPr>
            </w:pPr>
            <w:r w:rsidRPr="008E13C4">
              <w:rPr>
                <w:rFonts w:asciiTheme="minorHAnsi" w:hAnsiTheme="minorHAnsi" w:cstheme="minorHAnsi"/>
                <w:b/>
                <w:bCs/>
                <w:sz w:val="19"/>
                <w:szCs w:val="19"/>
              </w:rPr>
              <w:t>Facebook, Cambridge Analytica, and the (Uncertain) Future of Online Privacy</w:t>
            </w:r>
          </w:p>
        </w:tc>
        <w:tc>
          <w:tcPr>
            <w:tcW w:w="3000" w:type="dxa"/>
            <w:tcMar>
              <w:top w:w="80" w:type="dxa"/>
              <w:left w:w="100" w:type="dxa"/>
              <w:bottom w:w="80" w:type="dxa"/>
              <w:right w:w="100" w:type="dxa"/>
            </w:tcMar>
            <w:vAlign w:val="center"/>
          </w:tcPr>
          <w:p w14:paraId="5301DD9C" w14:textId="3B328E8D" w:rsidR="008E13C4" w:rsidRPr="008E13C4" w:rsidRDefault="008E13C4" w:rsidP="008E13C4">
            <w:pPr>
              <w:rPr>
                <w:rFonts w:asciiTheme="minorHAnsi" w:hAnsiTheme="minorHAnsi" w:cstheme="minorHAnsi"/>
                <w:sz w:val="19"/>
                <w:szCs w:val="19"/>
              </w:rPr>
            </w:pPr>
            <w:r w:rsidRPr="008E13C4">
              <w:rPr>
                <w:rFonts w:asciiTheme="minorHAnsi" w:hAnsiTheme="minorHAnsi" w:cstheme="minorHAnsi"/>
                <w:sz w:val="19"/>
                <w:szCs w:val="19"/>
              </w:rPr>
              <w:t>Data protection compliance, consumer trust and the evolving regulatory landscape for personal data</w:t>
            </w:r>
          </w:p>
        </w:tc>
        <w:tc>
          <w:tcPr>
            <w:tcW w:w="3500" w:type="dxa"/>
            <w:tcMar>
              <w:top w:w="80" w:type="dxa"/>
              <w:left w:w="100" w:type="dxa"/>
              <w:bottom w:w="80" w:type="dxa"/>
              <w:right w:w="120" w:type="dxa"/>
            </w:tcMar>
            <w:vAlign w:val="center"/>
          </w:tcPr>
          <w:p w14:paraId="3DE6AA61" w14:textId="77777777" w:rsidR="008E13C4" w:rsidRPr="008E13C4" w:rsidRDefault="008E13C4" w:rsidP="008E13C4">
            <w:pPr>
              <w:rPr>
                <w:rFonts w:asciiTheme="minorHAnsi" w:hAnsiTheme="minorHAnsi" w:cstheme="minorHAnsi"/>
                <w:sz w:val="19"/>
                <w:szCs w:val="19"/>
              </w:rPr>
            </w:pPr>
            <w:r w:rsidRPr="008E13C4">
              <w:rPr>
                <w:rFonts w:asciiTheme="minorHAnsi" w:hAnsiTheme="minorHAnsi" w:cstheme="minorHAnsi"/>
                <w:b/>
                <w:bCs/>
                <w:sz w:val="19"/>
                <w:szCs w:val="19"/>
              </w:rPr>
              <w:t>Darden School of Business (via Harvard Business Publishing)</w:t>
            </w:r>
          </w:p>
          <w:p w14:paraId="462C19C8" w14:textId="55231079" w:rsidR="008E13C4" w:rsidRPr="008E13C4" w:rsidRDefault="008E13C4" w:rsidP="008E13C4">
            <w:pPr>
              <w:spacing w:before="20"/>
              <w:rPr>
                <w:rFonts w:asciiTheme="minorHAnsi" w:hAnsiTheme="minorHAnsi" w:cstheme="minorHAnsi"/>
                <w:sz w:val="19"/>
                <w:szCs w:val="19"/>
              </w:rPr>
            </w:pPr>
            <w:r w:rsidRPr="008E13C4">
              <w:rPr>
                <w:rFonts w:asciiTheme="minorHAnsi" w:hAnsiTheme="minorHAnsi" w:cstheme="minorHAnsi"/>
                <w:sz w:val="19"/>
                <w:szCs w:val="19"/>
              </w:rPr>
              <w:t>hbsp.harvard.edu/product/UV8106-PDF-ENG</w:t>
            </w:r>
          </w:p>
        </w:tc>
      </w:tr>
      <w:tr w:rsidR="008E13C4" w14:paraId="3C524A12" w14:textId="77777777" w:rsidTr="008223E8">
        <w:trPr>
          <w:cantSplit/>
        </w:trPr>
        <w:tc>
          <w:tcPr>
            <w:tcW w:w="3206" w:type="dxa"/>
            <w:tcMar>
              <w:top w:w="80" w:type="dxa"/>
              <w:left w:w="120" w:type="dxa"/>
              <w:bottom w:w="80" w:type="dxa"/>
              <w:right w:w="100" w:type="dxa"/>
            </w:tcMar>
            <w:vAlign w:val="center"/>
          </w:tcPr>
          <w:p w14:paraId="07F36D5F" w14:textId="3D3BC581" w:rsidR="008E13C4" w:rsidRPr="008E13C4" w:rsidRDefault="008E13C4" w:rsidP="008E13C4">
            <w:pPr>
              <w:spacing w:before="20"/>
              <w:rPr>
                <w:rFonts w:asciiTheme="minorHAnsi" w:hAnsiTheme="minorHAnsi" w:cstheme="minorHAnsi"/>
                <w:sz w:val="19"/>
                <w:szCs w:val="19"/>
              </w:rPr>
            </w:pPr>
            <w:r w:rsidRPr="008E13C4">
              <w:rPr>
                <w:rFonts w:asciiTheme="minorHAnsi" w:hAnsiTheme="minorHAnsi" w:cstheme="minorHAnsi"/>
                <w:b/>
                <w:bCs/>
                <w:sz w:val="19"/>
                <w:szCs w:val="19"/>
              </w:rPr>
              <w:t>Uber: Competing Globally</w:t>
            </w:r>
          </w:p>
        </w:tc>
        <w:tc>
          <w:tcPr>
            <w:tcW w:w="3000" w:type="dxa"/>
            <w:tcMar>
              <w:top w:w="80" w:type="dxa"/>
              <w:left w:w="100" w:type="dxa"/>
              <w:bottom w:w="80" w:type="dxa"/>
              <w:right w:w="100" w:type="dxa"/>
            </w:tcMar>
            <w:vAlign w:val="center"/>
          </w:tcPr>
          <w:p w14:paraId="20B78C83" w14:textId="69566D3A" w:rsidR="008E13C4" w:rsidRPr="008E13C4" w:rsidRDefault="008E13C4" w:rsidP="008E13C4">
            <w:pPr>
              <w:rPr>
                <w:rFonts w:asciiTheme="minorHAnsi" w:hAnsiTheme="minorHAnsi" w:cstheme="minorHAnsi"/>
                <w:sz w:val="19"/>
                <w:szCs w:val="19"/>
              </w:rPr>
            </w:pPr>
            <w:r w:rsidRPr="008E13C4">
              <w:rPr>
                <w:rFonts w:asciiTheme="minorHAnsi" w:hAnsiTheme="minorHAnsi" w:cstheme="minorHAnsi"/>
                <w:sz w:val="19"/>
                <w:szCs w:val="19"/>
              </w:rPr>
              <w:t>Non-market strategy, regulatory negotiation across jurisdictions (including India) and platform/gig-economy regulation</w:t>
            </w:r>
          </w:p>
        </w:tc>
        <w:tc>
          <w:tcPr>
            <w:tcW w:w="3500" w:type="dxa"/>
            <w:tcMar>
              <w:top w:w="80" w:type="dxa"/>
              <w:left w:w="100" w:type="dxa"/>
              <w:bottom w:w="80" w:type="dxa"/>
              <w:right w:w="120" w:type="dxa"/>
            </w:tcMar>
            <w:vAlign w:val="center"/>
          </w:tcPr>
          <w:p w14:paraId="7FDE193F" w14:textId="77777777" w:rsidR="008E13C4" w:rsidRPr="008E13C4" w:rsidRDefault="008E13C4" w:rsidP="008E13C4">
            <w:pPr>
              <w:rPr>
                <w:rFonts w:asciiTheme="minorHAnsi" w:hAnsiTheme="minorHAnsi" w:cstheme="minorHAnsi"/>
                <w:sz w:val="19"/>
                <w:szCs w:val="19"/>
              </w:rPr>
            </w:pPr>
            <w:r w:rsidRPr="008E13C4">
              <w:rPr>
                <w:rFonts w:asciiTheme="minorHAnsi" w:hAnsiTheme="minorHAnsi" w:cstheme="minorHAnsi"/>
                <w:b/>
                <w:bCs/>
                <w:sz w:val="19"/>
                <w:szCs w:val="19"/>
              </w:rPr>
              <w:t>Harvard Business School (Case 720-404)</w:t>
            </w:r>
          </w:p>
          <w:p w14:paraId="6AC25561" w14:textId="067B7CBA" w:rsidR="008E13C4" w:rsidRPr="008E13C4" w:rsidRDefault="008E13C4" w:rsidP="008E13C4">
            <w:pPr>
              <w:spacing w:before="20"/>
              <w:rPr>
                <w:rFonts w:asciiTheme="minorHAnsi" w:hAnsiTheme="minorHAnsi" w:cstheme="minorHAnsi"/>
                <w:sz w:val="19"/>
                <w:szCs w:val="19"/>
              </w:rPr>
            </w:pPr>
            <w:r w:rsidRPr="008E13C4">
              <w:rPr>
                <w:rFonts w:asciiTheme="minorHAnsi" w:hAnsiTheme="minorHAnsi" w:cstheme="minorHAnsi"/>
                <w:sz w:val="19"/>
                <w:szCs w:val="19"/>
              </w:rPr>
              <w:t>hbsp.harvard.edu/product/720404-PDF-ENG</w:t>
            </w:r>
          </w:p>
        </w:tc>
      </w:tr>
      <w:tr w:rsidR="008E13C4" w14:paraId="2C0BFAB5" w14:textId="77777777" w:rsidTr="008223E8">
        <w:trPr>
          <w:cantSplit/>
        </w:trPr>
        <w:tc>
          <w:tcPr>
            <w:tcW w:w="3206" w:type="dxa"/>
            <w:tcMar>
              <w:top w:w="80" w:type="dxa"/>
              <w:left w:w="120" w:type="dxa"/>
              <w:bottom w:w="80" w:type="dxa"/>
              <w:right w:w="100" w:type="dxa"/>
            </w:tcMar>
            <w:vAlign w:val="center"/>
          </w:tcPr>
          <w:p w14:paraId="139BDBD5" w14:textId="4A6CA258" w:rsidR="008E13C4" w:rsidRPr="008E13C4" w:rsidRDefault="008E13C4" w:rsidP="008E13C4">
            <w:pPr>
              <w:spacing w:before="20"/>
              <w:rPr>
                <w:rFonts w:asciiTheme="minorHAnsi" w:hAnsiTheme="minorHAnsi" w:cstheme="minorHAnsi"/>
                <w:sz w:val="19"/>
                <w:szCs w:val="19"/>
              </w:rPr>
            </w:pPr>
            <w:r w:rsidRPr="008E13C4">
              <w:rPr>
                <w:rFonts w:asciiTheme="minorHAnsi" w:hAnsiTheme="minorHAnsi" w:cstheme="minorHAnsi"/>
                <w:b/>
                <w:bCs/>
                <w:sz w:val="19"/>
                <w:szCs w:val="19"/>
              </w:rPr>
              <w:t>Tech Mahindra and the Acquisition of Satyam Computers (A)</w:t>
            </w:r>
          </w:p>
        </w:tc>
        <w:tc>
          <w:tcPr>
            <w:tcW w:w="3000" w:type="dxa"/>
            <w:tcMar>
              <w:top w:w="80" w:type="dxa"/>
              <w:left w:w="100" w:type="dxa"/>
              <w:bottom w:w="80" w:type="dxa"/>
              <w:right w:w="100" w:type="dxa"/>
            </w:tcMar>
            <w:vAlign w:val="center"/>
          </w:tcPr>
          <w:p w14:paraId="5D4D4036" w14:textId="50977C7C" w:rsidR="008E13C4" w:rsidRPr="008E13C4" w:rsidRDefault="008E13C4" w:rsidP="008E13C4">
            <w:pPr>
              <w:rPr>
                <w:rFonts w:asciiTheme="minorHAnsi" w:hAnsiTheme="minorHAnsi" w:cstheme="minorHAnsi"/>
                <w:sz w:val="19"/>
                <w:szCs w:val="19"/>
              </w:rPr>
            </w:pPr>
            <w:r w:rsidRPr="008E13C4">
              <w:rPr>
                <w:rFonts w:asciiTheme="minorHAnsi" w:hAnsiTheme="minorHAnsi" w:cstheme="minorHAnsi"/>
                <w:sz w:val="19"/>
                <w:szCs w:val="19"/>
              </w:rPr>
              <w:t>Corporate governance failure, M&amp;A due diligence in distressed acquisitions, regulatory intervention and restoring stakeholder trust</w:t>
            </w:r>
          </w:p>
        </w:tc>
        <w:tc>
          <w:tcPr>
            <w:tcW w:w="3500" w:type="dxa"/>
            <w:tcMar>
              <w:top w:w="80" w:type="dxa"/>
              <w:left w:w="100" w:type="dxa"/>
              <w:bottom w:w="80" w:type="dxa"/>
              <w:right w:w="120" w:type="dxa"/>
            </w:tcMar>
            <w:vAlign w:val="center"/>
          </w:tcPr>
          <w:p w14:paraId="4224FFBB" w14:textId="77777777" w:rsidR="008E13C4" w:rsidRPr="008E13C4" w:rsidRDefault="008E13C4" w:rsidP="008E13C4">
            <w:pPr>
              <w:rPr>
                <w:rFonts w:asciiTheme="minorHAnsi" w:hAnsiTheme="minorHAnsi" w:cstheme="minorHAnsi"/>
                <w:sz w:val="19"/>
                <w:szCs w:val="19"/>
              </w:rPr>
            </w:pPr>
            <w:r w:rsidRPr="008E13C4">
              <w:rPr>
                <w:rFonts w:asciiTheme="minorHAnsi" w:hAnsiTheme="minorHAnsi" w:cstheme="minorHAnsi"/>
                <w:b/>
                <w:bCs/>
                <w:sz w:val="19"/>
                <w:szCs w:val="19"/>
              </w:rPr>
              <w:t>Harvard Business School (Case 114-049)</w:t>
            </w:r>
          </w:p>
          <w:p w14:paraId="1910940A" w14:textId="20738300" w:rsidR="008E13C4" w:rsidRPr="008E13C4" w:rsidRDefault="008E13C4" w:rsidP="008E13C4">
            <w:pPr>
              <w:spacing w:before="20"/>
              <w:rPr>
                <w:rFonts w:asciiTheme="minorHAnsi" w:hAnsiTheme="minorHAnsi" w:cstheme="minorHAnsi"/>
                <w:sz w:val="19"/>
                <w:szCs w:val="19"/>
              </w:rPr>
            </w:pPr>
            <w:r w:rsidRPr="008E13C4">
              <w:rPr>
                <w:rFonts w:asciiTheme="minorHAnsi" w:hAnsiTheme="minorHAnsi" w:cstheme="minorHAnsi"/>
                <w:sz w:val="19"/>
                <w:szCs w:val="19"/>
              </w:rPr>
              <w:t>hbsp.harvard.edu/product/114049-PDF-ENG</w:t>
            </w:r>
          </w:p>
        </w:tc>
      </w:tr>
      <w:tr w:rsidR="008E13C4" w14:paraId="7734F164" w14:textId="77777777" w:rsidTr="008223E8">
        <w:trPr>
          <w:cantSplit/>
        </w:trPr>
        <w:tc>
          <w:tcPr>
            <w:tcW w:w="3206" w:type="dxa"/>
            <w:tcMar>
              <w:top w:w="80" w:type="dxa"/>
              <w:left w:w="120" w:type="dxa"/>
              <w:bottom w:w="80" w:type="dxa"/>
              <w:right w:w="100" w:type="dxa"/>
            </w:tcMar>
            <w:vAlign w:val="center"/>
          </w:tcPr>
          <w:p w14:paraId="57C1189C" w14:textId="0A755738" w:rsidR="008E13C4" w:rsidRPr="008E13C4" w:rsidRDefault="008E13C4" w:rsidP="008E13C4">
            <w:pPr>
              <w:spacing w:before="20"/>
              <w:rPr>
                <w:rFonts w:asciiTheme="minorHAnsi" w:hAnsiTheme="minorHAnsi" w:cstheme="minorHAnsi"/>
                <w:sz w:val="19"/>
                <w:szCs w:val="19"/>
              </w:rPr>
            </w:pPr>
            <w:r w:rsidRPr="008E13C4">
              <w:rPr>
                <w:rFonts w:asciiTheme="minorHAnsi" w:hAnsiTheme="minorHAnsi" w:cstheme="minorHAnsi"/>
                <w:b/>
                <w:bCs/>
                <w:sz w:val="19"/>
                <w:szCs w:val="19"/>
              </w:rPr>
              <w:t>Corporate Governance Failure at Satyam</w:t>
            </w:r>
          </w:p>
        </w:tc>
        <w:tc>
          <w:tcPr>
            <w:tcW w:w="3000" w:type="dxa"/>
            <w:tcMar>
              <w:top w:w="80" w:type="dxa"/>
              <w:left w:w="100" w:type="dxa"/>
              <w:bottom w:w="80" w:type="dxa"/>
              <w:right w:w="100" w:type="dxa"/>
            </w:tcMar>
            <w:vAlign w:val="center"/>
          </w:tcPr>
          <w:p w14:paraId="25D9F8E2" w14:textId="51B06A13" w:rsidR="008E13C4" w:rsidRPr="008E13C4" w:rsidRDefault="008E13C4" w:rsidP="008E13C4">
            <w:pPr>
              <w:rPr>
                <w:rFonts w:asciiTheme="minorHAnsi" w:hAnsiTheme="minorHAnsi" w:cstheme="minorHAnsi"/>
                <w:sz w:val="19"/>
                <w:szCs w:val="19"/>
              </w:rPr>
            </w:pPr>
            <w:r w:rsidRPr="008E13C4">
              <w:rPr>
                <w:rFonts w:asciiTheme="minorHAnsi" w:hAnsiTheme="minorHAnsi" w:cstheme="minorHAnsi"/>
                <w:sz w:val="19"/>
                <w:szCs w:val="19"/>
              </w:rPr>
              <w:t>Role of promoters, independent directors and auditors in governance failure; whistle-blowing and regulatory response under company law</w:t>
            </w:r>
          </w:p>
        </w:tc>
        <w:tc>
          <w:tcPr>
            <w:tcW w:w="3500" w:type="dxa"/>
            <w:tcMar>
              <w:top w:w="80" w:type="dxa"/>
              <w:left w:w="100" w:type="dxa"/>
              <w:bottom w:w="80" w:type="dxa"/>
              <w:right w:w="120" w:type="dxa"/>
            </w:tcMar>
            <w:vAlign w:val="center"/>
          </w:tcPr>
          <w:p w14:paraId="3E1C3707" w14:textId="77777777" w:rsidR="008E13C4" w:rsidRPr="008E13C4" w:rsidRDefault="008E13C4" w:rsidP="008E13C4">
            <w:pPr>
              <w:rPr>
                <w:rFonts w:asciiTheme="minorHAnsi" w:hAnsiTheme="minorHAnsi" w:cstheme="minorHAnsi"/>
                <w:sz w:val="19"/>
                <w:szCs w:val="19"/>
              </w:rPr>
            </w:pPr>
            <w:r w:rsidRPr="008E13C4">
              <w:rPr>
                <w:rFonts w:asciiTheme="minorHAnsi" w:hAnsiTheme="minorHAnsi" w:cstheme="minorHAnsi"/>
                <w:b/>
                <w:bCs/>
                <w:sz w:val="19"/>
                <w:szCs w:val="19"/>
              </w:rPr>
              <w:t>Asia Case Research Centre, University of Hong Kong (via Harvard Business Publishing)</w:t>
            </w:r>
          </w:p>
          <w:p w14:paraId="121CD570" w14:textId="5B77EE1E" w:rsidR="008E13C4" w:rsidRPr="008E13C4" w:rsidRDefault="008E13C4" w:rsidP="008E13C4">
            <w:pPr>
              <w:spacing w:before="20"/>
              <w:rPr>
                <w:rFonts w:asciiTheme="minorHAnsi" w:hAnsiTheme="minorHAnsi" w:cstheme="minorHAnsi"/>
                <w:sz w:val="19"/>
                <w:szCs w:val="19"/>
              </w:rPr>
            </w:pPr>
            <w:r w:rsidRPr="008E13C4">
              <w:rPr>
                <w:rFonts w:asciiTheme="minorHAnsi" w:hAnsiTheme="minorHAnsi" w:cstheme="minorHAnsi"/>
                <w:sz w:val="19"/>
                <w:szCs w:val="19"/>
              </w:rPr>
              <w:t>hbsp.harvard.edu/product/HKU889-PDF-ENG</w:t>
            </w:r>
          </w:p>
        </w:tc>
      </w:tr>
    </w:tbl>
    <w:p w14:paraId="1837E355" w14:textId="77777777" w:rsidR="00AA13D1" w:rsidRDefault="006145A5">
      <w:pPr>
        <w:spacing w:before="160" w:after="60"/>
      </w:pPr>
      <w:r>
        <w:rPr>
          <w:b/>
          <w:bCs/>
          <w:color w:val="1B3A6B"/>
          <w:sz w:val="22"/>
          <w:szCs w:val="22"/>
        </w:rPr>
        <w:t>Live Assignments</w:t>
      </w:r>
    </w:p>
    <w:p w14:paraId="3318F42B" w14:textId="77777777" w:rsidR="00AA13D1" w:rsidRDefault="006145A5">
      <w:pPr>
        <w:spacing w:before="60" w:after="60"/>
      </w:pPr>
      <w:r>
        <w:t>Each assignment is anchored to a specific publicly accessible source or platform. Students work with real corporate documents, live data, and professional tools to build communication skills directly applicable to their careers.</w:t>
      </w:r>
    </w:p>
    <w:p w14:paraId="5F5BE99D" w14:textId="77777777" w:rsidR="00AA13D1" w:rsidRDefault="00AA13D1">
      <w:pPr>
        <w:spacing w:before="4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6"/>
        <w:gridCol w:w="3100"/>
        <w:gridCol w:w="3800"/>
      </w:tblGrid>
      <w:tr w:rsidR="00AA13D1" w14:paraId="2C79A967" w14:textId="77777777" w:rsidTr="00FB5FA7">
        <w:trPr>
          <w:cantSplit/>
        </w:trPr>
        <w:tc>
          <w:tcPr>
            <w:tcW w:w="2806" w:type="dxa"/>
            <w:shd w:val="clear" w:color="auto" w:fill="1B3A6B"/>
            <w:tcMar>
              <w:top w:w="100" w:type="dxa"/>
              <w:left w:w="120" w:type="dxa"/>
              <w:bottom w:w="100" w:type="dxa"/>
              <w:right w:w="120" w:type="dxa"/>
            </w:tcMar>
            <w:vAlign w:val="center"/>
          </w:tcPr>
          <w:p w14:paraId="641E1DA0" w14:textId="77777777" w:rsidR="00AA13D1" w:rsidRDefault="006145A5">
            <w:pPr>
              <w:jc w:val="center"/>
            </w:pPr>
            <w:r>
              <w:rPr>
                <w:b/>
                <w:bCs/>
                <w:color w:val="FFFFFF"/>
              </w:rPr>
              <w:t>Assignment</w:t>
            </w:r>
          </w:p>
        </w:tc>
        <w:tc>
          <w:tcPr>
            <w:tcW w:w="3100" w:type="dxa"/>
            <w:shd w:val="clear" w:color="auto" w:fill="1B3A6B"/>
            <w:tcMar>
              <w:top w:w="100" w:type="dxa"/>
              <w:left w:w="120" w:type="dxa"/>
              <w:bottom w:w="100" w:type="dxa"/>
              <w:right w:w="120" w:type="dxa"/>
            </w:tcMar>
            <w:vAlign w:val="center"/>
          </w:tcPr>
          <w:p w14:paraId="72636B0C" w14:textId="77777777" w:rsidR="00AA13D1" w:rsidRDefault="006145A5">
            <w:pPr>
              <w:jc w:val="center"/>
            </w:pPr>
            <w:r>
              <w:rPr>
                <w:b/>
                <w:bCs/>
                <w:color w:val="FFFFFF"/>
              </w:rPr>
              <w:t>Task Description</w:t>
            </w:r>
          </w:p>
        </w:tc>
        <w:tc>
          <w:tcPr>
            <w:tcW w:w="3800" w:type="dxa"/>
            <w:shd w:val="clear" w:color="auto" w:fill="1B3A6B"/>
            <w:tcMar>
              <w:top w:w="100" w:type="dxa"/>
              <w:left w:w="120" w:type="dxa"/>
              <w:bottom w:w="100" w:type="dxa"/>
              <w:right w:w="120" w:type="dxa"/>
            </w:tcMar>
            <w:vAlign w:val="center"/>
          </w:tcPr>
          <w:p w14:paraId="6B0EA916" w14:textId="77777777" w:rsidR="00AA13D1" w:rsidRDefault="006145A5">
            <w:pPr>
              <w:jc w:val="center"/>
            </w:pPr>
            <w:r>
              <w:rPr>
                <w:b/>
                <w:bCs/>
                <w:color w:val="FFFFFF"/>
              </w:rPr>
              <w:t>Source / Platform</w:t>
            </w:r>
          </w:p>
        </w:tc>
      </w:tr>
      <w:tr w:rsidR="008E13C4" w14:paraId="286A8E31" w14:textId="77777777" w:rsidTr="00FB5FA7">
        <w:trPr>
          <w:cantSplit/>
        </w:trPr>
        <w:tc>
          <w:tcPr>
            <w:tcW w:w="2806" w:type="dxa"/>
            <w:tcMar>
              <w:top w:w="80" w:type="dxa"/>
              <w:left w:w="120" w:type="dxa"/>
              <w:bottom w:w="80" w:type="dxa"/>
              <w:right w:w="100" w:type="dxa"/>
            </w:tcMar>
            <w:vAlign w:val="center"/>
          </w:tcPr>
          <w:p w14:paraId="7AE8725F" w14:textId="4917B976" w:rsidR="008E13C4" w:rsidRPr="008E13C4" w:rsidRDefault="008E13C4" w:rsidP="008E13C4">
            <w:pPr>
              <w:spacing w:before="16"/>
              <w:rPr>
                <w:rFonts w:asciiTheme="minorHAnsi" w:hAnsiTheme="minorHAnsi" w:cstheme="minorHAnsi"/>
                <w:sz w:val="19"/>
                <w:szCs w:val="19"/>
              </w:rPr>
            </w:pPr>
            <w:r w:rsidRPr="008E13C4">
              <w:rPr>
                <w:rFonts w:asciiTheme="minorHAnsi" w:hAnsiTheme="minorHAnsi" w:cstheme="minorHAnsi"/>
                <w:b/>
                <w:bCs/>
                <w:sz w:val="19"/>
                <w:szCs w:val="19"/>
              </w:rPr>
              <w:t>Landmark Judgment Brief: Amazon v. Future Retail</w:t>
            </w:r>
          </w:p>
        </w:tc>
        <w:tc>
          <w:tcPr>
            <w:tcW w:w="3100" w:type="dxa"/>
            <w:tcMar>
              <w:top w:w="80" w:type="dxa"/>
              <w:left w:w="100" w:type="dxa"/>
              <w:bottom w:w="80" w:type="dxa"/>
              <w:right w:w="100" w:type="dxa"/>
            </w:tcMar>
            <w:vAlign w:val="center"/>
          </w:tcPr>
          <w:p w14:paraId="42789661" w14:textId="6ED4F5B2" w:rsidR="008E13C4" w:rsidRPr="008E13C4" w:rsidRDefault="008E13C4" w:rsidP="008E13C4">
            <w:pPr>
              <w:rPr>
                <w:rFonts w:asciiTheme="minorHAnsi" w:hAnsiTheme="minorHAnsi" w:cstheme="minorHAnsi"/>
                <w:sz w:val="19"/>
                <w:szCs w:val="19"/>
              </w:rPr>
            </w:pPr>
            <w:r w:rsidRPr="008E13C4">
              <w:rPr>
                <w:rFonts w:asciiTheme="minorHAnsi" w:hAnsiTheme="minorHAnsi" w:cstheme="minorHAnsi"/>
                <w:sz w:val="19"/>
                <w:szCs w:val="19"/>
              </w:rPr>
              <w:t>Analyse the Supreme Court of India’s 2021 ruling on emergency arbitration and the Group of Companies doctrine; prepare a 2-page brief on its implications for cross-border investment and shareholder agreements.</w:t>
            </w:r>
          </w:p>
        </w:tc>
        <w:tc>
          <w:tcPr>
            <w:tcW w:w="3800" w:type="dxa"/>
            <w:tcMar>
              <w:top w:w="80" w:type="dxa"/>
              <w:left w:w="100" w:type="dxa"/>
              <w:bottom w:w="80" w:type="dxa"/>
              <w:right w:w="120" w:type="dxa"/>
            </w:tcMar>
            <w:vAlign w:val="center"/>
          </w:tcPr>
          <w:p w14:paraId="623851CB" w14:textId="77777777" w:rsidR="008E13C4" w:rsidRPr="008E13C4" w:rsidRDefault="008E13C4" w:rsidP="008E13C4">
            <w:pPr>
              <w:rPr>
                <w:rFonts w:asciiTheme="minorHAnsi" w:hAnsiTheme="minorHAnsi" w:cstheme="minorHAnsi"/>
                <w:sz w:val="19"/>
                <w:szCs w:val="19"/>
              </w:rPr>
            </w:pPr>
            <w:r w:rsidRPr="008E13C4">
              <w:rPr>
                <w:rFonts w:asciiTheme="minorHAnsi" w:hAnsiTheme="minorHAnsi" w:cstheme="minorHAnsi"/>
                <w:sz w:val="19"/>
                <w:szCs w:val="19"/>
              </w:rPr>
              <w:t>Supreme Court of India Judgments — main.sci.gov.in</w:t>
            </w:r>
          </w:p>
          <w:p w14:paraId="289CF4DD" w14:textId="25A6CF36" w:rsidR="008E13C4" w:rsidRPr="008E13C4" w:rsidRDefault="008E13C4" w:rsidP="008E13C4">
            <w:pPr>
              <w:spacing w:before="16"/>
              <w:rPr>
                <w:rFonts w:asciiTheme="minorHAnsi" w:hAnsiTheme="minorHAnsi" w:cstheme="minorHAnsi"/>
                <w:sz w:val="19"/>
                <w:szCs w:val="19"/>
              </w:rPr>
            </w:pPr>
            <w:r w:rsidRPr="008E13C4">
              <w:rPr>
                <w:rFonts w:asciiTheme="minorHAnsi" w:hAnsiTheme="minorHAnsi" w:cstheme="minorHAnsi"/>
                <w:sz w:val="19"/>
                <w:szCs w:val="19"/>
              </w:rPr>
              <w:t>Indian Kanoon — indiankanoon.org</w:t>
            </w:r>
          </w:p>
        </w:tc>
      </w:tr>
      <w:tr w:rsidR="008E13C4" w14:paraId="00C1FE51" w14:textId="77777777" w:rsidTr="00FB5FA7">
        <w:trPr>
          <w:cantSplit/>
        </w:trPr>
        <w:tc>
          <w:tcPr>
            <w:tcW w:w="2806" w:type="dxa"/>
            <w:tcMar>
              <w:top w:w="80" w:type="dxa"/>
              <w:left w:w="120" w:type="dxa"/>
              <w:bottom w:w="80" w:type="dxa"/>
              <w:right w:w="100" w:type="dxa"/>
            </w:tcMar>
            <w:vAlign w:val="center"/>
          </w:tcPr>
          <w:p w14:paraId="453D0E7C" w14:textId="308B84E2" w:rsidR="008E13C4" w:rsidRPr="008E13C4" w:rsidRDefault="008E13C4" w:rsidP="008E13C4">
            <w:pPr>
              <w:spacing w:before="16"/>
              <w:rPr>
                <w:rFonts w:asciiTheme="minorHAnsi" w:hAnsiTheme="minorHAnsi" w:cstheme="minorHAnsi"/>
                <w:sz w:val="19"/>
                <w:szCs w:val="19"/>
              </w:rPr>
            </w:pPr>
            <w:r w:rsidRPr="008E13C4">
              <w:rPr>
                <w:rFonts w:asciiTheme="minorHAnsi" w:hAnsiTheme="minorHAnsi" w:cstheme="minorHAnsi"/>
                <w:b/>
                <w:bCs/>
                <w:sz w:val="19"/>
                <w:szCs w:val="19"/>
              </w:rPr>
              <w:t>Contract Drafting and Redlining Exercise</w:t>
            </w:r>
          </w:p>
        </w:tc>
        <w:tc>
          <w:tcPr>
            <w:tcW w:w="3100" w:type="dxa"/>
            <w:tcMar>
              <w:top w:w="80" w:type="dxa"/>
              <w:left w:w="100" w:type="dxa"/>
              <w:bottom w:w="80" w:type="dxa"/>
              <w:right w:w="100" w:type="dxa"/>
            </w:tcMar>
            <w:vAlign w:val="center"/>
          </w:tcPr>
          <w:p w14:paraId="526180BA" w14:textId="0107D41F" w:rsidR="008E13C4" w:rsidRPr="008E13C4" w:rsidRDefault="008E13C4" w:rsidP="008E13C4">
            <w:pPr>
              <w:rPr>
                <w:rFonts w:asciiTheme="minorHAnsi" w:hAnsiTheme="minorHAnsi" w:cstheme="minorHAnsi"/>
                <w:sz w:val="19"/>
                <w:szCs w:val="19"/>
              </w:rPr>
            </w:pPr>
            <w:r w:rsidRPr="008E13C4">
              <w:rPr>
                <w:rFonts w:asciiTheme="minorHAnsi" w:hAnsiTheme="minorHAnsi" w:cstheme="minorHAnsi"/>
                <w:sz w:val="19"/>
                <w:szCs w:val="19"/>
              </w:rPr>
              <w:t>In groups, draft an NDA and a SaaS service agreement from a provided term sheet; exchange drafts with another group for redlining and a simulated negotiation.</w:t>
            </w:r>
          </w:p>
        </w:tc>
        <w:tc>
          <w:tcPr>
            <w:tcW w:w="3800" w:type="dxa"/>
            <w:tcMar>
              <w:top w:w="80" w:type="dxa"/>
              <w:left w:w="100" w:type="dxa"/>
              <w:bottom w:w="80" w:type="dxa"/>
              <w:right w:w="120" w:type="dxa"/>
            </w:tcMar>
            <w:vAlign w:val="center"/>
          </w:tcPr>
          <w:p w14:paraId="42C45371" w14:textId="431BF3C5" w:rsidR="008E13C4" w:rsidRPr="008E13C4" w:rsidRDefault="008E13C4" w:rsidP="008E13C4">
            <w:pPr>
              <w:spacing w:before="16"/>
              <w:rPr>
                <w:rFonts w:asciiTheme="minorHAnsi" w:hAnsiTheme="minorHAnsi" w:cstheme="minorHAnsi"/>
                <w:sz w:val="19"/>
                <w:szCs w:val="19"/>
              </w:rPr>
            </w:pPr>
            <w:r w:rsidRPr="008E13C4">
              <w:rPr>
                <w:rFonts w:asciiTheme="minorHAnsi" w:hAnsiTheme="minorHAnsi" w:cstheme="minorHAnsi"/>
                <w:sz w:val="19"/>
                <w:szCs w:val="19"/>
              </w:rPr>
              <w:t xml:space="preserve">Sample clause banks and templates published by </w:t>
            </w:r>
            <w:proofErr w:type="spellStart"/>
            <w:r w:rsidRPr="008E13C4">
              <w:rPr>
                <w:rFonts w:asciiTheme="minorHAnsi" w:hAnsiTheme="minorHAnsi" w:cstheme="minorHAnsi"/>
                <w:sz w:val="19"/>
                <w:szCs w:val="19"/>
              </w:rPr>
              <w:t>LegalTech</w:t>
            </w:r>
            <w:proofErr w:type="spellEnd"/>
            <w:r w:rsidRPr="008E13C4">
              <w:rPr>
                <w:rFonts w:asciiTheme="minorHAnsi" w:hAnsiTheme="minorHAnsi" w:cstheme="minorHAnsi"/>
                <w:sz w:val="19"/>
                <w:szCs w:val="19"/>
              </w:rPr>
              <w:t xml:space="preserve"> platforms and law-firm knowledge centres</w:t>
            </w:r>
          </w:p>
        </w:tc>
      </w:tr>
      <w:tr w:rsidR="008E13C4" w14:paraId="65A66234" w14:textId="77777777" w:rsidTr="00FB5FA7">
        <w:trPr>
          <w:cantSplit/>
        </w:trPr>
        <w:tc>
          <w:tcPr>
            <w:tcW w:w="2806" w:type="dxa"/>
            <w:tcMar>
              <w:top w:w="80" w:type="dxa"/>
              <w:left w:w="120" w:type="dxa"/>
              <w:bottom w:w="80" w:type="dxa"/>
              <w:right w:w="100" w:type="dxa"/>
            </w:tcMar>
            <w:vAlign w:val="center"/>
          </w:tcPr>
          <w:p w14:paraId="77426AE8" w14:textId="625A17EB" w:rsidR="008E13C4" w:rsidRPr="008E13C4" w:rsidRDefault="008E13C4" w:rsidP="008E13C4">
            <w:pPr>
              <w:spacing w:before="16"/>
              <w:rPr>
                <w:rFonts w:asciiTheme="minorHAnsi" w:hAnsiTheme="minorHAnsi" w:cstheme="minorHAnsi"/>
                <w:sz w:val="19"/>
                <w:szCs w:val="19"/>
              </w:rPr>
            </w:pPr>
            <w:r w:rsidRPr="008E13C4">
              <w:rPr>
                <w:rFonts w:asciiTheme="minorHAnsi" w:hAnsiTheme="minorHAnsi" w:cstheme="minorHAnsi"/>
                <w:b/>
                <w:bCs/>
                <w:sz w:val="19"/>
                <w:szCs w:val="19"/>
              </w:rPr>
              <w:t>DPDP Act Compliance Audit</w:t>
            </w:r>
          </w:p>
        </w:tc>
        <w:tc>
          <w:tcPr>
            <w:tcW w:w="3100" w:type="dxa"/>
            <w:tcMar>
              <w:top w:w="80" w:type="dxa"/>
              <w:left w:w="100" w:type="dxa"/>
              <w:bottom w:w="80" w:type="dxa"/>
              <w:right w:w="100" w:type="dxa"/>
            </w:tcMar>
            <w:vAlign w:val="center"/>
          </w:tcPr>
          <w:p w14:paraId="4A0C30A4" w14:textId="05014BB0" w:rsidR="008E13C4" w:rsidRPr="008E13C4" w:rsidRDefault="008E13C4" w:rsidP="008E13C4">
            <w:pPr>
              <w:rPr>
                <w:rFonts w:asciiTheme="minorHAnsi" w:hAnsiTheme="minorHAnsi" w:cstheme="minorHAnsi"/>
                <w:sz w:val="19"/>
                <w:szCs w:val="19"/>
              </w:rPr>
            </w:pPr>
            <w:r w:rsidRPr="008E13C4">
              <w:rPr>
                <w:rFonts w:asciiTheme="minorHAnsi" w:hAnsiTheme="minorHAnsi" w:cstheme="minorHAnsi"/>
                <w:sz w:val="19"/>
                <w:szCs w:val="19"/>
              </w:rPr>
              <w:t>Select a consumer-facing app or website and assess its privacy policy, consent flows and data-retention practices against the Digital Personal Data Protection Act, 2023.</w:t>
            </w:r>
          </w:p>
        </w:tc>
        <w:tc>
          <w:tcPr>
            <w:tcW w:w="3800" w:type="dxa"/>
            <w:tcMar>
              <w:top w:w="80" w:type="dxa"/>
              <w:left w:w="100" w:type="dxa"/>
              <w:bottom w:w="80" w:type="dxa"/>
              <w:right w:w="120" w:type="dxa"/>
            </w:tcMar>
            <w:vAlign w:val="center"/>
          </w:tcPr>
          <w:p w14:paraId="1AE590CE" w14:textId="77777777" w:rsidR="008E13C4" w:rsidRPr="008E13C4" w:rsidRDefault="008E13C4" w:rsidP="008E13C4">
            <w:pPr>
              <w:rPr>
                <w:rFonts w:asciiTheme="minorHAnsi" w:hAnsiTheme="minorHAnsi" w:cstheme="minorHAnsi"/>
                <w:sz w:val="19"/>
                <w:szCs w:val="19"/>
              </w:rPr>
            </w:pPr>
            <w:r w:rsidRPr="008E13C4">
              <w:rPr>
                <w:rFonts w:asciiTheme="minorHAnsi" w:hAnsiTheme="minorHAnsi" w:cstheme="minorHAnsi"/>
                <w:sz w:val="19"/>
                <w:szCs w:val="19"/>
              </w:rPr>
              <w:t>Ministry of Electronics and Information Technology — meity.gov.in</w:t>
            </w:r>
          </w:p>
          <w:p w14:paraId="67B6AA0B" w14:textId="73F0F3D8" w:rsidR="008E13C4" w:rsidRPr="008E13C4" w:rsidRDefault="008E13C4" w:rsidP="008E13C4">
            <w:pPr>
              <w:spacing w:before="16"/>
              <w:rPr>
                <w:rFonts w:asciiTheme="minorHAnsi" w:hAnsiTheme="minorHAnsi" w:cstheme="minorHAnsi"/>
                <w:sz w:val="19"/>
                <w:szCs w:val="19"/>
              </w:rPr>
            </w:pPr>
            <w:r w:rsidRPr="008E13C4">
              <w:rPr>
                <w:rFonts w:asciiTheme="minorHAnsi" w:hAnsiTheme="minorHAnsi" w:cstheme="minorHAnsi"/>
                <w:sz w:val="19"/>
                <w:szCs w:val="19"/>
              </w:rPr>
              <w:t>DPDP Act, 2023 (Bare Act)</w:t>
            </w:r>
          </w:p>
        </w:tc>
      </w:tr>
      <w:tr w:rsidR="008E13C4" w14:paraId="0D5084AD" w14:textId="77777777" w:rsidTr="00FB5FA7">
        <w:trPr>
          <w:cantSplit/>
        </w:trPr>
        <w:tc>
          <w:tcPr>
            <w:tcW w:w="2806" w:type="dxa"/>
            <w:tcMar>
              <w:top w:w="80" w:type="dxa"/>
              <w:left w:w="120" w:type="dxa"/>
              <w:bottom w:w="80" w:type="dxa"/>
              <w:right w:w="100" w:type="dxa"/>
            </w:tcMar>
            <w:vAlign w:val="center"/>
          </w:tcPr>
          <w:p w14:paraId="4775ECAA" w14:textId="6B181819" w:rsidR="008E13C4" w:rsidRPr="008E13C4" w:rsidRDefault="008E13C4" w:rsidP="008E13C4">
            <w:pPr>
              <w:spacing w:before="16"/>
              <w:rPr>
                <w:rFonts w:asciiTheme="minorHAnsi" w:hAnsiTheme="minorHAnsi" w:cstheme="minorHAnsi"/>
                <w:sz w:val="19"/>
                <w:szCs w:val="19"/>
              </w:rPr>
            </w:pPr>
            <w:r w:rsidRPr="008E13C4">
              <w:rPr>
                <w:rFonts w:asciiTheme="minorHAnsi" w:hAnsiTheme="minorHAnsi" w:cstheme="minorHAnsi"/>
                <w:b/>
                <w:bCs/>
                <w:sz w:val="19"/>
                <w:szCs w:val="19"/>
              </w:rPr>
              <w:lastRenderedPageBreak/>
              <w:t>Company Incorporation Simulation</w:t>
            </w:r>
          </w:p>
        </w:tc>
        <w:tc>
          <w:tcPr>
            <w:tcW w:w="3100" w:type="dxa"/>
            <w:tcMar>
              <w:top w:w="80" w:type="dxa"/>
              <w:left w:w="100" w:type="dxa"/>
              <w:bottom w:w="80" w:type="dxa"/>
              <w:right w:w="100" w:type="dxa"/>
            </w:tcMar>
            <w:vAlign w:val="center"/>
          </w:tcPr>
          <w:p w14:paraId="12050C61" w14:textId="3412FE4D" w:rsidR="008E13C4" w:rsidRPr="008E13C4" w:rsidRDefault="008E13C4" w:rsidP="008E13C4">
            <w:pPr>
              <w:rPr>
                <w:rFonts w:asciiTheme="minorHAnsi" w:hAnsiTheme="minorHAnsi" w:cstheme="minorHAnsi"/>
                <w:sz w:val="19"/>
                <w:szCs w:val="19"/>
              </w:rPr>
            </w:pPr>
            <w:r w:rsidRPr="008E13C4">
              <w:rPr>
                <w:rFonts w:asciiTheme="minorHAnsi" w:hAnsiTheme="minorHAnsi" w:cstheme="minorHAnsi"/>
                <w:sz w:val="19"/>
                <w:szCs w:val="19"/>
              </w:rPr>
              <w:t xml:space="preserve">Use the MCA21 </w:t>
            </w:r>
            <w:proofErr w:type="spellStart"/>
            <w:r w:rsidRPr="008E13C4">
              <w:rPr>
                <w:rFonts w:asciiTheme="minorHAnsi" w:hAnsiTheme="minorHAnsi" w:cstheme="minorHAnsi"/>
                <w:sz w:val="19"/>
                <w:szCs w:val="19"/>
              </w:rPr>
              <w:t>SPICe</w:t>
            </w:r>
            <w:proofErr w:type="spellEnd"/>
            <w:r w:rsidRPr="008E13C4">
              <w:rPr>
                <w:rFonts w:asciiTheme="minorHAnsi" w:hAnsiTheme="minorHAnsi" w:cstheme="minorHAnsi"/>
                <w:sz w:val="19"/>
                <w:szCs w:val="19"/>
              </w:rPr>
              <w:t>+ process to map the steps, forms and documentation required to incorporate a Private Limited Company, LLP and One Person Company, and compare timelines and compliance burden.</w:t>
            </w:r>
          </w:p>
        </w:tc>
        <w:tc>
          <w:tcPr>
            <w:tcW w:w="3800" w:type="dxa"/>
            <w:tcMar>
              <w:top w:w="80" w:type="dxa"/>
              <w:left w:w="100" w:type="dxa"/>
              <w:bottom w:w="80" w:type="dxa"/>
              <w:right w:w="120" w:type="dxa"/>
            </w:tcMar>
            <w:vAlign w:val="center"/>
          </w:tcPr>
          <w:p w14:paraId="5A586CBD" w14:textId="7C54804B" w:rsidR="008E13C4" w:rsidRPr="008E13C4" w:rsidRDefault="008E13C4" w:rsidP="008E13C4">
            <w:pPr>
              <w:spacing w:before="16"/>
              <w:rPr>
                <w:rFonts w:asciiTheme="minorHAnsi" w:hAnsiTheme="minorHAnsi" w:cstheme="minorHAnsi"/>
                <w:sz w:val="19"/>
                <w:szCs w:val="19"/>
              </w:rPr>
            </w:pPr>
            <w:r w:rsidRPr="008E13C4">
              <w:rPr>
                <w:rFonts w:asciiTheme="minorHAnsi" w:hAnsiTheme="minorHAnsi" w:cstheme="minorHAnsi"/>
                <w:sz w:val="19"/>
                <w:szCs w:val="19"/>
              </w:rPr>
              <w:t>Ministry of Corporate Affairs — mca.gov.in (</w:t>
            </w:r>
            <w:proofErr w:type="spellStart"/>
            <w:r w:rsidRPr="008E13C4">
              <w:rPr>
                <w:rFonts w:asciiTheme="minorHAnsi" w:hAnsiTheme="minorHAnsi" w:cstheme="minorHAnsi"/>
                <w:sz w:val="19"/>
                <w:szCs w:val="19"/>
              </w:rPr>
              <w:t>SPICe</w:t>
            </w:r>
            <w:proofErr w:type="spellEnd"/>
            <w:r w:rsidRPr="008E13C4">
              <w:rPr>
                <w:rFonts w:asciiTheme="minorHAnsi" w:hAnsiTheme="minorHAnsi" w:cstheme="minorHAnsi"/>
                <w:sz w:val="19"/>
                <w:szCs w:val="19"/>
              </w:rPr>
              <w:t>+ / MCA21 Portal)</w:t>
            </w:r>
          </w:p>
        </w:tc>
      </w:tr>
      <w:tr w:rsidR="008E13C4" w14:paraId="74C1ADED" w14:textId="77777777" w:rsidTr="00FB5FA7">
        <w:trPr>
          <w:cantSplit/>
        </w:trPr>
        <w:tc>
          <w:tcPr>
            <w:tcW w:w="2806" w:type="dxa"/>
            <w:tcMar>
              <w:top w:w="80" w:type="dxa"/>
              <w:left w:w="120" w:type="dxa"/>
              <w:bottom w:w="80" w:type="dxa"/>
              <w:right w:w="100" w:type="dxa"/>
            </w:tcMar>
            <w:vAlign w:val="center"/>
          </w:tcPr>
          <w:p w14:paraId="1608A044" w14:textId="093DBFB5" w:rsidR="008E13C4" w:rsidRPr="008E13C4" w:rsidRDefault="008E13C4" w:rsidP="008E13C4">
            <w:pPr>
              <w:spacing w:before="16"/>
              <w:rPr>
                <w:rFonts w:asciiTheme="minorHAnsi" w:hAnsiTheme="minorHAnsi" w:cstheme="minorHAnsi"/>
                <w:sz w:val="19"/>
                <w:szCs w:val="19"/>
              </w:rPr>
            </w:pPr>
            <w:r w:rsidRPr="008E13C4">
              <w:rPr>
                <w:rFonts w:asciiTheme="minorHAnsi" w:hAnsiTheme="minorHAnsi" w:cstheme="minorHAnsi"/>
                <w:b/>
                <w:bCs/>
                <w:sz w:val="19"/>
                <w:szCs w:val="19"/>
              </w:rPr>
              <w:t>Competition Commission of India (CCI) Order Analysis</w:t>
            </w:r>
          </w:p>
        </w:tc>
        <w:tc>
          <w:tcPr>
            <w:tcW w:w="3100" w:type="dxa"/>
            <w:tcMar>
              <w:top w:w="80" w:type="dxa"/>
              <w:left w:w="100" w:type="dxa"/>
              <w:bottom w:w="80" w:type="dxa"/>
              <w:right w:w="100" w:type="dxa"/>
            </w:tcMar>
            <w:vAlign w:val="center"/>
          </w:tcPr>
          <w:p w14:paraId="63F91257" w14:textId="3BD5D62A" w:rsidR="008E13C4" w:rsidRPr="008E13C4" w:rsidRDefault="008E13C4" w:rsidP="008E13C4">
            <w:pPr>
              <w:rPr>
                <w:rFonts w:asciiTheme="minorHAnsi" w:hAnsiTheme="minorHAnsi" w:cstheme="minorHAnsi"/>
                <w:sz w:val="19"/>
                <w:szCs w:val="19"/>
              </w:rPr>
            </w:pPr>
            <w:r w:rsidRPr="008E13C4">
              <w:rPr>
                <w:rFonts w:asciiTheme="minorHAnsi" w:hAnsiTheme="minorHAnsi" w:cstheme="minorHAnsi"/>
                <w:sz w:val="19"/>
                <w:szCs w:val="19"/>
              </w:rPr>
              <w:t>Review a recent CCI order concerning a digital platform (e.g., app-store policies or e-commerce practices) and present the anti-competitive conduct identified and the remedies imposed.</w:t>
            </w:r>
          </w:p>
        </w:tc>
        <w:tc>
          <w:tcPr>
            <w:tcW w:w="3800" w:type="dxa"/>
            <w:tcMar>
              <w:top w:w="80" w:type="dxa"/>
              <w:left w:w="100" w:type="dxa"/>
              <w:bottom w:w="80" w:type="dxa"/>
              <w:right w:w="120" w:type="dxa"/>
            </w:tcMar>
            <w:vAlign w:val="center"/>
          </w:tcPr>
          <w:p w14:paraId="42BA00E8" w14:textId="4BEA6D51" w:rsidR="008E13C4" w:rsidRPr="008E13C4" w:rsidRDefault="008E13C4" w:rsidP="008E13C4">
            <w:pPr>
              <w:spacing w:before="16"/>
              <w:rPr>
                <w:rFonts w:asciiTheme="minorHAnsi" w:hAnsiTheme="minorHAnsi" w:cstheme="minorHAnsi"/>
                <w:sz w:val="19"/>
                <w:szCs w:val="19"/>
              </w:rPr>
            </w:pPr>
            <w:r w:rsidRPr="008E13C4">
              <w:rPr>
                <w:rFonts w:asciiTheme="minorHAnsi" w:hAnsiTheme="minorHAnsi" w:cstheme="minorHAnsi"/>
                <w:sz w:val="19"/>
                <w:szCs w:val="19"/>
              </w:rPr>
              <w:t>Competition Commission of India — cci.gov.in (Orders &amp; Notifications)</w:t>
            </w:r>
          </w:p>
        </w:tc>
      </w:tr>
    </w:tbl>
    <w:p w14:paraId="6BC0DD37" w14:textId="77777777" w:rsidR="00AA13D1" w:rsidRDefault="006145A5">
      <w:pPr>
        <w:spacing w:before="160" w:after="60"/>
      </w:pPr>
      <w:r>
        <w:rPr>
          <w:b/>
          <w:bCs/>
          <w:color w:val="1B3A6B"/>
          <w:sz w:val="22"/>
          <w:szCs w:val="22"/>
        </w:rPr>
        <w:t>Software Exposure</w:t>
      </w:r>
    </w:p>
    <w:p w14:paraId="2E5E4E15" w14:textId="3C9C673B" w:rsidR="00BB3ED3" w:rsidRPr="00BB3ED3" w:rsidRDefault="00BB3ED3" w:rsidP="00BB3ED3">
      <w:pPr>
        <w:pStyle w:val="ListParagraph"/>
        <w:numPr>
          <w:ilvl w:val="0"/>
          <w:numId w:val="3"/>
        </w:numPr>
        <w:spacing w:after="60"/>
        <w:rPr>
          <w:rFonts w:asciiTheme="minorHAnsi" w:hAnsiTheme="minorHAnsi" w:cstheme="minorHAnsi"/>
          <w:sz w:val="19"/>
          <w:szCs w:val="19"/>
        </w:rPr>
      </w:pPr>
      <w:r w:rsidRPr="00BB3ED3">
        <w:rPr>
          <w:rFonts w:asciiTheme="minorHAnsi" w:hAnsiTheme="minorHAnsi" w:cstheme="minorHAnsi"/>
          <w:sz w:val="19"/>
          <w:szCs w:val="19"/>
        </w:rPr>
        <w:t xml:space="preserve">Online Dispute Resolution (ODR) platforms and AI-assisted legal research tools (e.g., SCC Online, </w:t>
      </w:r>
      <w:proofErr w:type="spellStart"/>
      <w:r w:rsidRPr="00BB3ED3">
        <w:rPr>
          <w:rFonts w:asciiTheme="minorHAnsi" w:hAnsiTheme="minorHAnsi" w:cstheme="minorHAnsi"/>
          <w:sz w:val="19"/>
          <w:szCs w:val="19"/>
        </w:rPr>
        <w:t>Manupatra</w:t>
      </w:r>
      <w:proofErr w:type="spellEnd"/>
      <w:r w:rsidRPr="00BB3ED3">
        <w:rPr>
          <w:rFonts w:asciiTheme="minorHAnsi" w:hAnsiTheme="minorHAnsi" w:cstheme="minorHAnsi"/>
          <w:sz w:val="19"/>
          <w:szCs w:val="19"/>
        </w:rPr>
        <w:t xml:space="preserve">, </w:t>
      </w:r>
      <w:proofErr w:type="spellStart"/>
      <w:r w:rsidRPr="00BB3ED3">
        <w:rPr>
          <w:rFonts w:asciiTheme="minorHAnsi" w:hAnsiTheme="minorHAnsi" w:cstheme="minorHAnsi"/>
          <w:sz w:val="19"/>
          <w:szCs w:val="19"/>
        </w:rPr>
        <w:t>Casemine</w:t>
      </w:r>
      <w:proofErr w:type="spellEnd"/>
      <w:r w:rsidRPr="00BB3ED3">
        <w:rPr>
          <w:rFonts w:asciiTheme="minorHAnsi" w:hAnsiTheme="minorHAnsi" w:cstheme="minorHAnsi"/>
          <w:sz w:val="19"/>
          <w:szCs w:val="19"/>
        </w:rPr>
        <w:t>)</w:t>
      </w:r>
    </w:p>
    <w:p w14:paraId="72E64761" w14:textId="77777777" w:rsidR="00BB3ED3" w:rsidRPr="00BB3ED3" w:rsidRDefault="00BB3ED3" w:rsidP="00BB3ED3">
      <w:pPr>
        <w:pStyle w:val="ListParagraph"/>
        <w:numPr>
          <w:ilvl w:val="0"/>
          <w:numId w:val="3"/>
        </w:numPr>
        <w:spacing w:after="60"/>
        <w:rPr>
          <w:rFonts w:asciiTheme="minorHAnsi" w:hAnsiTheme="minorHAnsi" w:cstheme="minorHAnsi"/>
          <w:sz w:val="19"/>
          <w:szCs w:val="19"/>
        </w:rPr>
      </w:pPr>
      <w:r w:rsidRPr="00BB3ED3">
        <w:rPr>
          <w:rFonts w:asciiTheme="minorHAnsi" w:hAnsiTheme="minorHAnsi" w:cstheme="minorHAnsi"/>
          <w:sz w:val="19"/>
          <w:szCs w:val="19"/>
        </w:rPr>
        <w:t>MCA21 Portal for company incorporation, e-filing and statutory compliance (</w:t>
      </w:r>
      <w:proofErr w:type="spellStart"/>
      <w:r w:rsidRPr="00BB3ED3">
        <w:rPr>
          <w:rFonts w:asciiTheme="minorHAnsi" w:hAnsiTheme="minorHAnsi" w:cstheme="minorHAnsi"/>
          <w:sz w:val="19"/>
          <w:szCs w:val="19"/>
        </w:rPr>
        <w:t>SPICe</w:t>
      </w:r>
      <w:proofErr w:type="spellEnd"/>
      <w:r w:rsidRPr="00BB3ED3">
        <w:rPr>
          <w:rFonts w:asciiTheme="minorHAnsi" w:hAnsiTheme="minorHAnsi" w:cstheme="minorHAnsi"/>
          <w:sz w:val="19"/>
          <w:szCs w:val="19"/>
        </w:rPr>
        <w:t>+)</w:t>
      </w:r>
    </w:p>
    <w:p w14:paraId="074D4695" w14:textId="77777777" w:rsidR="00BB3ED3" w:rsidRPr="00BB3ED3" w:rsidRDefault="00BB3ED3" w:rsidP="00BB3ED3">
      <w:pPr>
        <w:pStyle w:val="ListParagraph"/>
        <w:numPr>
          <w:ilvl w:val="0"/>
          <w:numId w:val="3"/>
        </w:numPr>
        <w:spacing w:after="60"/>
        <w:rPr>
          <w:rFonts w:asciiTheme="minorHAnsi" w:hAnsiTheme="minorHAnsi" w:cstheme="minorHAnsi"/>
          <w:sz w:val="19"/>
          <w:szCs w:val="19"/>
        </w:rPr>
      </w:pPr>
      <w:r w:rsidRPr="00BB3ED3">
        <w:rPr>
          <w:rFonts w:asciiTheme="minorHAnsi" w:hAnsiTheme="minorHAnsi" w:cstheme="minorHAnsi"/>
          <w:sz w:val="19"/>
          <w:szCs w:val="19"/>
        </w:rPr>
        <w:t>IP India Portal for patent, trademark, design and copyright registration and search</w:t>
      </w:r>
    </w:p>
    <w:p w14:paraId="50C14742" w14:textId="77777777" w:rsidR="00BB3ED3" w:rsidRPr="00BB3ED3" w:rsidRDefault="00BB3ED3" w:rsidP="00BB3ED3">
      <w:pPr>
        <w:pStyle w:val="ListParagraph"/>
        <w:numPr>
          <w:ilvl w:val="0"/>
          <w:numId w:val="3"/>
        </w:numPr>
        <w:spacing w:before="30" w:after="30"/>
        <w:rPr>
          <w:rFonts w:asciiTheme="minorHAnsi" w:hAnsiTheme="minorHAnsi" w:cstheme="minorHAnsi"/>
          <w:sz w:val="19"/>
          <w:szCs w:val="19"/>
        </w:rPr>
      </w:pPr>
      <w:r w:rsidRPr="00BB3ED3">
        <w:rPr>
          <w:rFonts w:asciiTheme="minorHAnsi" w:hAnsiTheme="minorHAnsi" w:cstheme="minorHAnsi"/>
          <w:sz w:val="19"/>
          <w:szCs w:val="19"/>
        </w:rPr>
        <w:t>AI-Assisted Contract Review and Contract Lifecycle Management (CLM) Tools</w:t>
      </w:r>
    </w:p>
    <w:p w14:paraId="5F335932" w14:textId="24439BEB" w:rsidR="00AA13D1" w:rsidRPr="00BB3ED3" w:rsidRDefault="00BB3ED3" w:rsidP="00BB3ED3">
      <w:pPr>
        <w:pStyle w:val="ListParagraph"/>
        <w:numPr>
          <w:ilvl w:val="0"/>
          <w:numId w:val="3"/>
        </w:numPr>
        <w:spacing w:before="30" w:after="30"/>
        <w:rPr>
          <w:rFonts w:asciiTheme="minorHAnsi" w:hAnsiTheme="minorHAnsi" w:cstheme="minorHAnsi"/>
          <w:sz w:val="19"/>
          <w:szCs w:val="19"/>
        </w:rPr>
      </w:pPr>
      <w:r w:rsidRPr="00BB3ED3">
        <w:rPr>
          <w:rFonts w:asciiTheme="minorHAnsi" w:hAnsiTheme="minorHAnsi" w:cstheme="minorHAnsi"/>
          <w:sz w:val="19"/>
          <w:szCs w:val="19"/>
        </w:rPr>
        <w:t>Digital Personal Data Protection Act, 2023 — Compliance Checklists and Data-Mapping Tools</w:t>
      </w:r>
    </w:p>
    <w:p w14:paraId="4FF1C774" w14:textId="77777777" w:rsidR="00AA13D1" w:rsidRDefault="006145A5">
      <w:pPr>
        <w:pBdr>
          <w:bottom w:val="single" w:sz="6" w:space="2" w:color="C8161D"/>
        </w:pBdr>
        <w:spacing w:before="240" w:after="80"/>
      </w:pPr>
      <w:r>
        <w:rPr>
          <w:b/>
          <w:bCs/>
          <w:color w:val="1B3A6B"/>
          <w:sz w:val="24"/>
          <w:szCs w:val="24"/>
        </w:rPr>
        <w:t>Scheme of Assessment</w:t>
      </w:r>
    </w:p>
    <w:p w14:paraId="097D8363" w14:textId="77777777" w:rsidR="00AA13D1" w:rsidRDefault="00AA13D1">
      <w:pPr>
        <w:spacing w:before="60"/>
      </w:pPr>
    </w:p>
    <w:tbl>
      <w:tblPr>
        <w:tblW w:w="97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02"/>
        <w:gridCol w:w="3200"/>
        <w:gridCol w:w="2804"/>
      </w:tblGrid>
      <w:tr w:rsidR="00AA13D1" w14:paraId="07D61CE8" w14:textId="77777777" w:rsidTr="00A22968">
        <w:tc>
          <w:tcPr>
            <w:tcW w:w="3702" w:type="dxa"/>
            <w:shd w:val="clear" w:color="auto" w:fill="1B3A6B"/>
            <w:tcMar>
              <w:top w:w="100" w:type="dxa"/>
              <w:left w:w="120" w:type="dxa"/>
              <w:bottom w:w="100" w:type="dxa"/>
              <w:right w:w="120" w:type="dxa"/>
            </w:tcMar>
            <w:vAlign w:val="center"/>
          </w:tcPr>
          <w:p w14:paraId="2F262310" w14:textId="77777777" w:rsidR="00AA13D1" w:rsidRDefault="006145A5">
            <w:pPr>
              <w:jc w:val="center"/>
            </w:pPr>
            <w:r>
              <w:rPr>
                <w:b/>
                <w:bCs/>
                <w:color w:val="FFFFFF"/>
              </w:rPr>
              <w:t>Comprehensive Concurrent Evaluation (CCE)</w:t>
            </w:r>
          </w:p>
        </w:tc>
        <w:tc>
          <w:tcPr>
            <w:tcW w:w="3200" w:type="dxa"/>
            <w:shd w:val="clear" w:color="auto" w:fill="1B3A6B"/>
            <w:tcMar>
              <w:top w:w="100" w:type="dxa"/>
              <w:left w:w="120" w:type="dxa"/>
              <w:bottom w:w="100" w:type="dxa"/>
              <w:right w:w="120" w:type="dxa"/>
            </w:tcMar>
            <w:vAlign w:val="center"/>
          </w:tcPr>
          <w:p w14:paraId="651BFC32" w14:textId="77777777" w:rsidR="00AA13D1" w:rsidRDefault="006145A5">
            <w:pPr>
              <w:jc w:val="center"/>
            </w:pPr>
            <w:r>
              <w:rPr>
                <w:b/>
                <w:bCs/>
                <w:color w:val="FFFFFF"/>
              </w:rPr>
              <w:t>Term End Examination (TEE)</w:t>
            </w:r>
          </w:p>
        </w:tc>
        <w:tc>
          <w:tcPr>
            <w:tcW w:w="2804" w:type="dxa"/>
            <w:shd w:val="clear" w:color="auto" w:fill="1B3A6B"/>
            <w:tcMar>
              <w:top w:w="100" w:type="dxa"/>
              <w:left w:w="120" w:type="dxa"/>
              <w:bottom w:w="100" w:type="dxa"/>
              <w:right w:w="120" w:type="dxa"/>
            </w:tcMar>
            <w:vAlign w:val="center"/>
          </w:tcPr>
          <w:p w14:paraId="7DA6ECC4" w14:textId="77777777" w:rsidR="00AA13D1" w:rsidRDefault="006145A5">
            <w:pPr>
              <w:jc w:val="center"/>
            </w:pPr>
            <w:r>
              <w:rPr>
                <w:b/>
                <w:bCs/>
                <w:color w:val="FFFFFF"/>
              </w:rPr>
              <w:t>Total Marks</w:t>
            </w:r>
          </w:p>
        </w:tc>
      </w:tr>
      <w:tr w:rsidR="00AA13D1" w14:paraId="1404AA31" w14:textId="77777777" w:rsidTr="00A22968">
        <w:tc>
          <w:tcPr>
            <w:tcW w:w="3702" w:type="dxa"/>
            <w:tcMar>
              <w:top w:w="100" w:type="dxa"/>
              <w:left w:w="120" w:type="dxa"/>
              <w:bottom w:w="100" w:type="dxa"/>
              <w:right w:w="120" w:type="dxa"/>
            </w:tcMar>
            <w:vAlign w:val="center"/>
          </w:tcPr>
          <w:p w14:paraId="3C1FB3F1" w14:textId="77777777" w:rsidR="00AA13D1" w:rsidRDefault="006145A5">
            <w:pPr>
              <w:jc w:val="center"/>
            </w:pPr>
            <w:r>
              <w:rPr>
                <w:b/>
                <w:bCs/>
                <w:color w:val="1B3A6B"/>
                <w:sz w:val="22"/>
                <w:szCs w:val="22"/>
              </w:rPr>
              <w:t>50 Marks</w:t>
            </w:r>
          </w:p>
        </w:tc>
        <w:tc>
          <w:tcPr>
            <w:tcW w:w="3200" w:type="dxa"/>
            <w:tcMar>
              <w:top w:w="100" w:type="dxa"/>
              <w:left w:w="120" w:type="dxa"/>
              <w:bottom w:w="100" w:type="dxa"/>
              <w:right w:w="120" w:type="dxa"/>
            </w:tcMar>
            <w:vAlign w:val="center"/>
          </w:tcPr>
          <w:p w14:paraId="2746FF37" w14:textId="77777777" w:rsidR="00AA13D1" w:rsidRDefault="006145A5">
            <w:pPr>
              <w:jc w:val="center"/>
            </w:pPr>
            <w:r>
              <w:rPr>
                <w:b/>
                <w:bCs/>
                <w:color w:val="1B3A6B"/>
                <w:sz w:val="22"/>
                <w:szCs w:val="22"/>
              </w:rPr>
              <w:t>50 Marks</w:t>
            </w:r>
          </w:p>
        </w:tc>
        <w:tc>
          <w:tcPr>
            <w:tcW w:w="2804" w:type="dxa"/>
            <w:tcMar>
              <w:top w:w="100" w:type="dxa"/>
              <w:left w:w="120" w:type="dxa"/>
              <w:bottom w:w="100" w:type="dxa"/>
              <w:right w:w="120" w:type="dxa"/>
            </w:tcMar>
            <w:vAlign w:val="center"/>
          </w:tcPr>
          <w:p w14:paraId="69B9B293" w14:textId="77777777" w:rsidR="00AA13D1" w:rsidRDefault="006145A5">
            <w:pPr>
              <w:jc w:val="center"/>
            </w:pPr>
            <w:r>
              <w:rPr>
                <w:b/>
                <w:bCs/>
                <w:color w:val="1B3A6B"/>
                <w:sz w:val="22"/>
                <w:szCs w:val="22"/>
              </w:rPr>
              <w:t>100 Marks</w:t>
            </w:r>
          </w:p>
        </w:tc>
      </w:tr>
      <w:tr w:rsidR="00AA13D1" w14:paraId="690D7B65" w14:textId="77777777" w:rsidTr="00A22968">
        <w:tc>
          <w:tcPr>
            <w:tcW w:w="9706" w:type="dxa"/>
            <w:gridSpan w:val="3"/>
            <w:tcMar>
              <w:top w:w="80" w:type="dxa"/>
              <w:left w:w="140" w:type="dxa"/>
              <w:bottom w:w="80" w:type="dxa"/>
              <w:right w:w="120" w:type="dxa"/>
            </w:tcMar>
          </w:tcPr>
          <w:p w14:paraId="1201C5C9" w14:textId="77777777" w:rsidR="00AA13D1" w:rsidRDefault="006145A5">
            <w:r>
              <w:rPr>
                <w:b/>
                <w:bCs/>
                <w:color w:val="1B3A6B"/>
                <w:sz w:val="18"/>
                <w:szCs w:val="18"/>
              </w:rPr>
              <w:t xml:space="preserve">* Note: </w:t>
            </w:r>
            <w:r>
              <w:rPr>
                <w:sz w:val="18"/>
                <w:szCs w:val="18"/>
              </w:rPr>
              <w:t>The course teacher shall prepare the scheme of comprehensive concurrent evaluation (formative assessment) before the commencement of the term. Every course should have at least 3–5 evaluation components spread across the full trimester. Term End Examination (TEE) is a compulsory component. Please refer to the student handbook for further details.</w:t>
            </w:r>
          </w:p>
        </w:tc>
      </w:tr>
    </w:tbl>
    <w:p w14:paraId="544B61B6" w14:textId="77777777" w:rsidR="00AA13D1" w:rsidRDefault="006145A5">
      <w:pPr>
        <w:spacing w:before="80" w:after="60"/>
      </w:pPr>
      <w:r>
        <w:rPr>
          <w:b/>
          <w:bCs/>
          <w:color w:val="1B3A6B"/>
          <w:sz w:val="21"/>
          <w:szCs w:val="21"/>
        </w:rPr>
        <w:t>Suggested CCE Components:</w:t>
      </w:r>
    </w:p>
    <w:p w14:paraId="60D45EB9" w14:textId="147E3E9E" w:rsidR="0016423E" w:rsidRPr="0016423E" w:rsidRDefault="0016423E" w:rsidP="0016423E">
      <w:pPr>
        <w:pStyle w:val="ListParagraph"/>
        <w:numPr>
          <w:ilvl w:val="0"/>
          <w:numId w:val="2"/>
        </w:numPr>
        <w:spacing w:after="60"/>
        <w:rPr>
          <w:rFonts w:asciiTheme="minorHAnsi" w:hAnsiTheme="minorHAnsi" w:cstheme="minorHAnsi"/>
          <w:sz w:val="19"/>
          <w:szCs w:val="19"/>
        </w:rPr>
      </w:pPr>
      <w:r w:rsidRPr="0016423E">
        <w:rPr>
          <w:rFonts w:asciiTheme="minorHAnsi" w:hAnsiTheme="minorHAnsi" w:cstheme="minorHAnsi"/>
          <w:b/>
          <w:bCs/>
          <w:sz w:val="19"/>
          <w:szCs w:val="19"/>
        </w:rPr>
        <w:t xml:space="preserve">Assessment 1 — Legal Concepts Quiz: </w:t>
      </w:r>
      <w:r w:rsidRPr="0016423E">
        <w:rPr>
          <w:rFonts w:asciiTheme="minorHAnsi" w:hAnsiTheme="minorHAnsi" w:cstheme="minorHAnsi"/>
          <w:sz w:val="19"/>
          <w:szCs w:val="19"/>
        </w:rPr>
        <w:t>Tests understanding of the sources of business law, the Indian judicial system, and ADR mechanisms covered in Unit 1.</w:t>
      </w:r>
    </w:p>
    <w:p w14:paraId="4E42C9FB" w14:textId="77777777" w:rsidR="0016423E" w:rsidRPr="0016423E" w:rsidRDefault="0016423E" w:rsidP="0016423E">
      <w:pPr>
        <w:pStyle w:val="ListParagraph"/>
        <w:numPr>
          <w:ilvl w:val="0"/>
          <w:numId w:val="2"/>
        </w:numPr>
        <w:spacing w:after="60"/>
        <w:rPr>
          <w:rFonts w:asciiTheme="minorHAnsi" w:hAnsiTheme="minorHAnsi" w:cstheme="minorHAnsi"/>
          <w:sz w:val="19"/>
          <w:szCs w:val="19"/>
        </w:rPr>
      </w:pPr>
      <w:r w:rsidRPr="0016423E">
        <w:rPr>
          <w:rFonts w:asciiTheme="minorHAnsi" w:hAnsiTheme="minorHAnsi" w:cstheme="minorHAnsi"/>
          <w:b/>
          <w:bCs/>
          <w:sz w:val="19"/>
          <w:szCs w:val="19"/>
        </w:rPr>
        <w:t xml:space="preserve">Assessment 2 — Contract Drafting Assignment (Individual): </w:t>
      </w:r>
      <w:r w:rsidRPr="0016423E">
        <w:rPr>
          <w:rFonts w:asciiTheme="minorHAnsi" w:hAnsiTheme="minorHAnsi" w:cstheme="minorHAnsi"/>
          <w:sz w:val="19"/>
          <w:szCs w:val="19"/>
        </w:rPr>
        <w:t>Students draft a service agreement or NDA incorporating a specified set of clauses (indemnity, limitation of liability, confidentiality, termination, dispute resolution).</w:t>
      </w:r>
    </w:p>
    <w:p w14:paraId="734B75CD" w14:textId="5125DBC2" w:rsidR="0016423E" w:rsidRPr="0016423E" w:rsidRDefault="0016423E" w:rsidP="0016423E">
      <w:pPr>
        <w:pStyle w:val="ListParagraph"/>
        <w:numPr>
          <w:ilvl w:val="0"/>
          <w:numId w:val="2"/>
        </w:numPr>
        <w:spacing w:after="60"/>
        <w:rPr>
          <w:rFonts w:asciiTheme="minorHAnsi" w:hAnsiTheme="minorHAnsi" w:cstheme="minorHAnsi"/>
          <w:sz w:val="19"/>
          <w:szCs w:val="19"/>
        </w:rPr>
      </w:pPr>
      <w:r w:rsidRPr="0016423E">
        <w:rPr>
          <w:rFonts w:asciiTheme="minorHAnsi" w:hAnsiTheme="minorHAnsi" w:cstheme="minorHAnsi"/>
          <w:b/>
          <w:bCs/>
          <w:sz w:val="19"/>
          <w:szCs w:val="19"/>
        </w:rPr>
        <w:t xml:space="preserve">Assessment 3 — Case Analysis (Group): </w:t>
      </w:r>
      <w:r w:rsidRPr="0016423E">
        <w:rPr>
          <w:rFonts w:asciiTheme="minorHAnsi" w:hAnsiTheme="minorHAnsi" w:cstheme="minorHAnsi"/>
          <w:sz w:val="19"/>
          <w:szCs w:val="19"/>
        </w:rPr>
        <w:t xml:space="preserve">Group analysis of a landmark judgment (e.g., Amazon v. Future Retail or Novartis v. Union of </w:t>
      </w:r>
      <w:proofErr w:type="gramStart"/>
      <w:r w:rsidRPr="0016423E">
        <w:rPr>
          <w:rFonts w:asciiTheme="minorHAnsi" w:hAnsiTheme="minorHAnsi" w:cstheme="minorHAnsi"/>
          <w:sz w:val="19"/>
          <w:szCs w:val="19"/>
        </w:rPr>
        <w:t>In</w:t>
      </w:r>
      <w:proofErr w:type="gramEnd"/>
      <w:r w:rsidR="00C43698">
        <w:rPr>
          <w:rFonts w:asciiTheme="minorHAnsi" w:hAnsiTheme="minorHAnsi" w:cstheme="minorHAnsi"/>
          <w:sz w:val="19"/>
          <w:szCs w:val="19"/>
        </w:rPr>
        <w:tab/>
      </w:r>
      <w:proofErr w:type="spellStart"/>
      <w:r w:rsidRPr="0016423E">
        <w:rPr>
          <w:rFonts w:asciiTheme="minorHAnsi" w:hAnsiTheme="minorHAnsi" w:cstheme="minorHAnsi"/>
          <w:sz w:val="19"/>
          <w:szCs w:val="19"/>
        </w:rPr>
        <w:t>dia</w:t>
      </w:r>
      <w:proofErr w:type="spellEnd"/>
      <w:r w:rsidRPr="0016423E">
        <w:rPr>
          <w:rFonts w:asciiTheme="minorHAnsi" w:hAnsiTheme="minorHAnsi" w:cstheme="minorHAnsi"/>
          <w:sz w:val="19"/>
          <w:szCs w:val="19"/>
        </w:rPr>
        <w:t>) covering the legal reasoning and its business implications.</w:t>
      </w:r>
    </w:p>
    <w:p w14:paraId="30F32E96" w14:textId="77777777" w:rsidR="0016423E" w:rsidRPr="0016423E" w:rsidRDefault="0016423E" w:rsidP="0016423E">
      <w:pPr>
        <w:pStyle w:val="ListParagraph"/>
        <w:numPr>
          <w:ilvl w:val="0"/>
          <w:numId w:val="2"/>
        </w:numPr>
        <w:spacing w:after="60"/>
        <w:rPr>
          <w:rFonts w:asciiTheme="minorHAnsi" w:hAnsiTheme="minorHAnsi" w:cstheme="minorHAnsi"/>
          <w:sz w:val="19"/>
          <w:szCs w:val="19"/>
        </w:rPr>
      </w:pPr>
      <w:r w:rsidRPr="0016423E">
        <w:rPr>
          <w:rFonts w:asciiTheme="minorHAnsi" w:hAnsiTheme="minorHAnsi" w:cstheme="minorHAnsi"/>
          <w:b/>
          <w:bCs/>
          <w:sz w:val="19"/>
          <w:szCs w:val="19"/>
        </w:rPr>
        <w:t xml:space="preserve">Assessment 4 — Regulatory Compliance Project: </w:t>
      </w:r>
      <w:r w:rsidRPr="0016423E">
        <w:rPr>
          <w:rFonts w:asciiTheme="minorHAnsi" w:hAnsiTheme="minorHAnsi" w:cstheme="minorHAnsi"/>
          <w:sz w:val="19"/>
          <w:szCs w:val="19"/>
        </w:rPr>
        <w:t>A DPDP Act, Consumer Protection Act, or CCI-compliance audit of a real company’s publicly available policies and disclosures.</w:t>
      </w:r>
    </w:p>
    <w:p w14:paraId="7C4F06BB" w14:textId="77777777" w:rsidR="0016423E" w:rsidRPr="0016423E" w:rsidRDefault="0016423E" w:rsidP="0016423E">
      <w:pPr>
        <w:pStyle w:val="ListParagraph"/>
        <w:numPr>
          <w:ilvl w:val="0"/>
          <w:numId w:val="2"/>
        </w:numPr>
        <w:spacing w:after="60"/>
        <w:rPr>
          <w:rFonts w:asciiTheme="minorHAnsi" w:hAnsiTheme="minorHAnsi" w:cstheme="minorHAnsi"/>
          <w:sz w:val="19"/>
          <w:szCs w:val="19"/>
        </w:rPr>
      </w:pPr>
      <w:r w:rsidRPr="0016423E">
        <w:rPr>
          <w:rFonts w:asciiTheme="minorHAnsi" w:hAnsiTheme="minorHAnsi" w:cstheme="minorHAnsi"/>
          <w:b/>
          <w:bCs/>
          <w:sz w:val="19"/>
          <w:szCs w:val="19"/>
        </w:rPr>
        <w:t xml:space="preserve">Assessment 5 — Negotiation / Mock Arbitration Exercise: </w:t>
      </w:r>
      <w:r w:rsidRPr="0016423E">
        <w:rPr>
          <w:rFonts w:asciiTheme="minorHAnsi" w:hAnsiTheme="minorHAnsi" w:cstheme="minorHAnsi"/>
          <w:sz w:val="19"/>
          <w:szCs w:val="19"/>
        </w:rPr>
        <w:t>Simulated contract negotiation or mock arbitration proceeding based on a hypothetical commercial dispute.</w:t>
      </w:r>
    </w:p>
    <w:p w14:paraId="1552D614" w14:textId="7EC236C1" w:rsidR="00AA13D1" w:rsidRDefault="00AA13D1" w:rsidP="0016423E">
      <w:pPr>
        <w:spacing w:before="40" w:after="40"/>
      </w:pPr>
    </w:p>
    <w:p w14:paraId="5595CC15" w14:textId="77777777" w:rsidR="00AA13D1" w:rsidRDefault="006145A5">
      <w:pPr>
        <w:pBdr>
          <w:bottom w:val="single" w:sz="6" w:space="2" w:color="C8161D"/>
        </w:pBdr>
        <w:spacing w:before="240" w:after="80"/>
      </w:pPr>
      <w:r>
        <w:rPr>
          <w:b/>
          <w:bCs/>
          <w:color w:val="1B3A6B"/>
          <w:sz w:val="24"/>
          <w:szCs w:val="24"/>
        </w:rPr>
        <w:t>Recommended Textbooks</w:t>
      </w:r>
    </w:p>
    <w:p w14:paraId="2579387B" w14:textId="3C7E3A7E" w:rsidR="002E0428" w:rsidRPr="002E0428" w:rsidRDefault="002E0428" w:rsidP="002E0428">
      <w:pPr>
        <w:pStyle w:val="ListParagraph"/>
        <w:numPr>
          <w:ilvl w:val="0"/>
          <w:numId w:val="4"/>
        </w:numPr>
        <w:spacing w:after="60"/>
        <w:rPr>
          <w:rFonts w:asciiTheme="minorHAnsi" w:hAnsiTheme="minorHAnsi" w:cstheme="minorHAnsi"/>
          <w:sz w:val="19"/>
          <w:szCs w:val="19"/>
        </w:rPr>
      </w:pPr>
      <w:r w:rsidRPr="002E0428">
        <w:rPr>
          <w:rFonts w:asciiTheme="minorHAnsi" w:hAnsiTheme="minorHAnsi" w:cstheme="minorHAnsi"/>
          <w:sz w:val="19"/>
          <w:szCs w:val="19"/>
        </w:rPr>
        <w:t xml:space="preserve">Kapoor, N. D. (2024). </w:t>
      </w:r>
      <w:r w:rsidRPr="002E0428">
        <w:rPr>
          <w:rFonts w:asciiTheme="minorHAnsi" w:hAnsiTheme="minorHAnsi" w:cstheme="minorHAnsi"/>
          <w:i/>
          <w:iCs/>
          <w:sz w:val="19"/>
          <w:szCs w:val="19"/>
        </w:rPr>
        <w:t>Elements of Mercantile Law</w:t>
      </w:r>
      <w:r w:rsidRPr="002E0428">
        <w:rPr>
          <w:rFonts w:asciiTheme="minorHAnsi" w:hAnsiTheme="minorHAnsi" w:cstheme="minorHAnsi"/>
          <w:sz w:val="19"/>
          <w:szCs w:val="19"/>
        </w:rPr>
        <w:t xml:space="preserve"> (39th Edition). Sultan Chand &amp; Sons.</w:t>
      </w:r>
    </w:p>
    <w:p w14:paraId="50160ECA" w14:textId="77777777" w:rsidR="002E0428" w:rsidRPr="002E0428" w:rsidRDefault="002E0428" w:rsidP="002E0428">
      <w:pPr>
        <w:pStyle w:val="ListParagraph"/>
        <w:numPr>
          <w:ilvl w:val="0"/>
          <w:numId w:val="4"/>
        </w:numPr>
        <w:spacing w:after="60"/>
        <w:rPr>
          <w:rFonts w:asciiTheme="minorHAnsi" w:hAnsiTheme="minorHAnsi" w:cstheme="minorHAnsi"/>
          <w:sz w:val="19"/>
          <w:szCs w:val="19"/>
        </w:rPr>
      </w:pPr>
      <w:r w:rsidRPr="002E0428">
        <w:rPr>
          <w:rFonts w:asciiTheme="minorHAnsi" w:hAnsiTheme="minorHAnsi" w:cstheme="minorHAnsi"/>
          <w:sz w:val="19"/>
          <w:szCs w:val="19"/>
        </w:rPr>
        <w:t xml:space="preserve">Pathak, Akhileshwar. (2022). </w:t>
      </w:r>
      <w:r w:rsidRPr="002E0428">
        <w:rPr>
          <w:rFonts w:asciiTheme="minorHAnsi" w:hAnsiTheme="minorHAnsi" w:cstheme="minorHAnsi"/>
          <w:i/>
          <w:iCs/>
          <w:sz w:val="19"/>
          <w:szCs w:val="19"/>
        </w:rPr>
        <w:t>Legal Aspects of Business</w:t>
      </w:r>
      <w:r w:rsidRPr="002E0428">
        <w:rPr>
          <w:rFonts w:asciiTheme="minorHAnsi" w:hAnsiTheme="minorHAnsi" w:cstheme="minorHAnsi"/>
          <w:sz w:val="19"/>
          <w:szCs w:val="19"/>
        </w:rPr>
        <w:t xml:space="preserve"> (8th Edition). McGraw Hill.</w:t>
      </w:r>
    </w:p>
    <w:p w14:paraId="4C6CCE41" w14:textId="5CE1B45A" w:rsidR="002E0428" w:rsidRDefault="002E0428" w:rsidP="002E0428">
      <w:pPr>
        <w:pStyle w:val="ListParagraph"/>
        <w:numPr>
          <w:ilvl w:val="0"/>
          <w:numId w:val="4"/>
        </w:numPr>
        <w:spacing w:after="60"/>
        <w:rPr>
          <w:rFonts w:asciiTheme="minorHAnsi" w:hAnsiTheme="minorHAnsi" w:cstheme="minorHAnsi"/>
          <w:sz w:val="19"/>
          <w:szCs w:val="19"/>
        </w:rPr>
      </w:pPr>
      <w:r w:rsidRPr="002E0428">
        <w:rPr>
          <w:rFonts w:asciiTheme="minorHAnsi" w:hAnsiTheme="minorHAnsi" w:cstheme="minorHAnsi"/>
          <w:sz w:val="19"/>
          <w:szCs w:val="19"/>
        </w:rPr>
        <w:t xml:space="preserve">Cheeseman, Henry R. (2021). </w:t>
      </w:r>
      <w:r w:rsidRPr="002E0428">
        <w:rPr>
          <w:rFonts w:asciiTheme="minorHAnsi" w:hAnsiTheme="minorHAnsi" w:cstheme="minorHAnsi"/>
          <w:i/>
          <w:iCs/>
          <w:sz w:val="19"/>
          <w:szCs w:val="19"/>
        </w:rPr>
        <w:t>Business Law</w:t>
      </w:r>
      <w:r w:rsidRPr="002E0428">
        <w:rPr>
          <w:rFonts w:asciiTheme="minorHAnsi" w:hAnsiTheme="minorHAnsi" w:cstheme="minorHAnsi"/>
          <w:sz w:val="19"/>
          <w:szCs w:val="19"/>
        </w:rPr>
        <w:t xml:space="preserve"> (10th Edition). Pearson Education.</w:t>
      </w:r>
    </w:p>
    <w:p w14:paraId="59D0D103" w14:textId="5A42BDF6" w:rsidR="00F0757C" w:rsidRDefault="00F0757C" w:rsidP="00F0757C">
      <w:pPr>
        <w:spacing w:after="60"/>
        <w:rPr>
          <w:rFonts w:asciiTheme="minorHAnsi" w:hAnsiTheme="minorHAnsi" w:cstheme="minorHAnsi"/>
          <w:sz w:val="19"/>
          <w:szCs w:val="19"/>
        </w:rPr>
      </w:pPr>
    </w:p>
    <w:p w14:paraId="4D7E6693" w14:textId="0531F7F0" w:rsidR="00F0757C" w:rsidRDefault="00F0757C" w:rsidP="00F0757C">
      <w:pPr>
        <w:spacing w:after="60"/>
        <w:rPr>
          <w:rFonts w:asciiTheme="minorHAnsi" w:hAnsiTheme="minorHAnsi" w:cstheme="minorHAnsi"/>
          <w:sz w:val="19"/>
          <w:szCs w:val="19"/>
        </w:rPr>
      </w:pPr>
    </w:p>
    <w:p w14:paraId="69016031" w14:textId="77777777" w:rsidR="00F0757C" w:rsidRPr="00F0757C" w:rsidRDefault="00F0757C" w:rsidP="00F0757C">
      <w:pPr>
        <w:spacing w:after="60"/>
        <w:rPr>
          <w:rFonts w:asciiTheme="minorHAnsi" w:hAnsiTheme="minorHAnsi" w:cstheme="minorHAnsi"/>
          <w:sz w:val="19"/>
          <w:szCs w:val="19"/>
        </w:rPr>
      </w:pPr>
    </w:p>
    <w:p w14:paraId="69ED4270" w14:textId="58122D9D" w:rsidR="00AA13D1" w:rsidRPr="002E0428" w:rsidRDefault="006145A5" w:rsidP="002E0428">
      <w:pPr>
        <w:spacing w:after="60"/>
        <w:rPr>
          <w:rFonts w:asciiTheme="majorHAnsi" w:hAnsiTheme="majorHAnsi" w:cstheme="majorHAnsi"/>
        </w:rPr>
      </w:pPr>
      <w:r>
        <w:rPr>
          <w:b/>
          <w:bCs/>
          <w:color w:val="1B3A6B"/>
          <w:sz w:val="24"/>
          <w:szCs w:val="24"/>
        </w:rPr>
        <w:lastRenderedPageBreak/>
        <w:t>Reference Books</w:t>
      </w:r>
    </w:p>
    <w:p w14:paraId="23076950" w14:textId="77777777" w:rsidR="00F0757C" w:rsidRPr="00F0757C" w:rsidRDefault="00F0757C" w:rsidP="00F0757C">
      <w:pPr>
        <w:pStyle w:val="ListParagraph"/>
        <w:numPr>
          <w:ilvl w:val="0"/>
          <w:numId w:val="2"/>
        </w:numPr>
        <w:spacing w:after="60"/>
        <w:rPr>
          <w:rFonts w:asciiTheme="minorHAnsi" w:hAnsiTheme="minorHAnsi" w:cstheme="minorHAnsi"/>
          <w:sz w:val="19"/>
          <w:szCs w:val="19"/>
        </w:rPr>
      </w:pPr>
      <w:r w:rsidRPr="00F0757C">
        <w:rPr>
          <w:rFonts w:asciiTheme="minorHAnsi" w:hAnsiTheme="minorHAnsi" w:cstheme="minorHAnsi"/>
          <w:sz w:val="19"/>
          <w:szCs w:val="19"/>
        </w:rPr>
        <w:t xml:space="preserve">Kumar, Ravinder. (2016). </w:t>
      </w:r>
      <w:r w:rsidRPr="00F0757C">
        <w:rPr>
          <w:rFonts w:asciiTheme="minorHAnsi" w:hAnsiTheme="minorHAnsi" w:cstheme="minorHAnsi"/>
          <w:i/>
          <w:iCs/>
          <w:sz w:val="19"/>
          <w:szCs w:val="19"/>
        </w:rPr>
        <w:t>Legal Aspects of Business</w:t>
      </w:r>
      <w:r w:rsidRPr="00F0757C">
        <w:rPr>
          <w:rFonts w:asciiTheme="minorHAnsi" w:hAnsiTheme="minorHAnsi" w:cstheme="minorHAnsi"/>
          <w:sz w:val="19"/>
          <w:szCs w:val="19"/>
        </w:rPr>
        <w:t xml:space="preserve"> (4th Edition). Cengage Learning India Private Limited.</w:t>
      </w:r>
    </w:p>
    <w:p w14:paraId="6E5FE33F" w14:textId="77777777" w:rsidR="00F0757C" w:rsidRPr="00F0757C" w:rsidRDefault="00F0757C" w:rsidP="00F0757C">
      <w:pPr>
        <w:pStyle w:val="ListParagraph"/>
        <w:numPr>
          <w:ilvl w:val="0"/>
          <w:numId w:val="2"/>
        </w:numPr>
        <w:spacing w:after="60"/>
        <w:rPr>
          <w:rFonts w:asciiTheme="minorHAnsi" w:hAnsiTheme="minorHAnsi" w:cstheme="minorHAnsi"/>
          <w:sz w:val="19"/>
          <w:szCs w:val="19"/>
        </w:rPr>
      </w:pPr>
      <w:r w:rsidRPr="00F0757C">
        <w:rPr>
          <w:rFonts w:asciiTheme="minorHAnsi" w:hAnsiTheme="minorHAnsi" w:cstheme="minorHAnsi"/>
          <w:sz w:val="19"/>
          <w:szCs w:val="19"/>
        </w:rPr>
        <w:t xml:space="preserve">Gulshan, S. S., &amp; Kapoor, G. K. (2023). </w:t>
      </w:r>
      <w:r w:rsidRPr="00F0757C">
        <w:rPr>
          <w:rFonts w:asciiTheme="minorHAnsi" w:hAnsiTheme="minorHAnsi" w:cstheme="minorHAnsi"/>
          <w:i/>
          <w:iCs/>
          <w:sz w:val="19"/>
          <w:szCs w:val="19"/>
        </w:rPr>
        <w:t>Business Law including Company Law</w:t>
      </w:r>
      <w:r w:rsidRPr="00F0757C">
        <w:rPr>
          <w:rFonts w:asciiTheme="minorHAnsi" w:hAnsiTheme="minorHAnsi" w:cstheme="minorHAnsi"/>
          <w:sz w:val="19"/>
          <w:szCs w:val="19"/>
        </w:rPr>
        <w:t xml:space="preserve"> (23rd Edition). New Age International Private Limited.</w:t>
      </w:r>
    </w:p>
    <w:p w14:paraId="6F9DE923" w14:textId="77777777" w:rsidR="00F0757C" w:rsidRPr="00F0757C" w:rsidRDefault="00F0757C" w:rsidP="00F0757C">
      <w:pPr>
        <w:pStyle w:val="ListParagraph"/>
        <w:numPr>
          <w:ilvl w:val="0"/>
          <w:numId w:val="2"/>
        </w:numPr>
        <w:spacing w:after="60"/>
        <w:rPr>
          <w:rFonts w:asciiTheme="minorHAnsi" w:hAnsiTheme="minorHAnsi" w:cstheme="minorHAnsi"/>
          <w:sz w:val="19"/>
          <w:szCs w:val="19"/>
        </w:rPr>
      </w:pPr>
      <w:r w:rsidRPr="00F0757C">
        <w:rPr>
          <w:rFonts w:asciiTheme="minorHAnsi" w:hAnsiTheme="minorHAnsi" w:cstheme="minorHAnsi"/>
          <w:sz w:val="19"/>
          <w:szCs w:val="19"/>
        </w:rPr>
        <w:t xml:space="preserve">Singh, Avtar. (2020). </w:t>
      </w:r>
      <w:r w:rsidRPr="00F0757C">
        <w:rPr>
          <w:rFonts w:asciiTheme="minorHAnsi" w:hAnsiTheme="minorHAnsi" w:cstheme="minorHAnsi"/>
          <w:i/>
          <w:iCs/>
          <w:sz w:val="19"/>
          <w:szCs w:val="19"/>
        </w:rPr>
        <w:t>Law of Contract and Specific Relief</w:t>
      </w:r>
      <w:r w:rsidRPr="00F0757C">
        <w:rPr>
          <w:rFonts w:asciiTheme="minorHAnsi" w:hAnsiTheme="minorHAnsi" w:cstheme="minorHAnsi"/>
          <w:sz w:val="19"/>
          <w:szCs w:val="19"/>
        </w:rPr>
        <w:t xml:space="preserve"> (12th Edition). Eastern Book Company.</w:t>
      </w:r>
    </w:p>
    <w:p w14:paraId="1805CA4B" w14:textId="77777777" w:rsidR="00F0757C" w:rsidRPr="00F0757C" w:rsidRDefault="00F0757C" w:rsidP="00F0757C">
      <w:pPr>
        <w:pStyle w:val="ListParagraph"/>
        <w:numPr>
          <w:ilvl w:val="0"/>
          <w:numId w:val="2"/>
        </w:numPr>
        <w:spacing w:after="60"/>
        <w:rPr>
          <w:rFonts w:asciiTheme="minorHAnsi" w:hAnsiTheme="minorHAnsi" w:cstheme="minorHAnsi"/>
          <w:sz w:val="19"/>
          <w:szCs w:val="19"/>
        </w:rPr>
      </w:pPr>
      <w:r w:rsidRPr="00F0757C">
        <w:rPr>
          <w:rFonts w:asciiTheme="minorHAnsi" w:hAnsiTheme="minorHAnsi" w:cstheme="minorHAnsi"/>
          <w:sz w:val="19"/>
          <w:szCs w:val="19"/>
        </w:rPr>
        <w:t xml:space="preserve">Ministry of Electronics and Information Technology, GoI. </w:t>
      </w:r>
      <w:r w:rsidRPr="00F0757C">
        <w:rPr>
          <w:rFonts w:asciiTheme="minorHAnsi" w:hAnsiTheme="minorHAnsi" w:cstheme="minorHAnsi"/>
          <w:i/>
          <w:iCs/>
          <w:sz w:val="19"/>
          <w:szCs w:val="19"/>
        </w:rPr>
        <w:t>The Digital Personal Data Protection Act, 2023</w:t>
      </w:r>
      <w:r w:rsidRPr="00F0757C">
        <w:rPr>
          <w:rFonts w:asciiTheme="minorHAnsi" w:hAnsiTheme="minorHAnsi" w:cstheme="minorHAnsi"/>
          <w:sz w:val="19"/>
          <w:szCs w:val="19"/>
        </w:rPr>
        <w:t xml:space="preserve"> (Bare Act).</w:t>
      </w:r>
    </w:p>
    <w:p w14:paraId="6F288AFB" w14:textId="0168C396" w:rsidR="00F0757C" w:rsidRPr="00F0757C" w:rsidRDefault="00F0757C" w:rsidP="00F0757C">
      <w:pPr>
        <w:pStyle w:val="ListParagraph"/>
        <w:numPr>
          <w:ilvl w:val="0"/>
          <w:numId w:val="2"/>
        </w:numPr>
        <w:spacing w:after="60"/>
        <w:rPr>
          <w:rFonts w:asciiTheme="minorHAnsi" w:hAnsiTheme="minorHAnsi" w:cstheme="minorHAnsi"/>
          <w:sz w:val="19"/>
          <w:szCs w:val="19"/>
        </w:rPr>
      </w:pPr>
      <w:r w:rsidRPr="00F0757C">
        <w:rPr>
          <w:rFonts w:asciiTheme="minorHAnsi" w:hAnsiTheme="minorHAnsi" w:cstheme="minorHAnsi"/>
          <w:sz w:val="19"/>
          <w:szCs w:val="19"/>
        </w:rPr>
        <w:t xml:space="preserve">Ministry of Corporate Affairs, GoI. </w:t>
      </w:r>
      <w:r w:rsidRPr="00F0757C">
        <w:rPr>
          <w:rFonts w:asciiTheme="minorHAnsi" w:hAnsiTheme="minorHAnsi" w:cstheme="minorHAnsi"/>
          <w:i/>
          <w:iCs/>
          <w:sz w:val="19"/>
          <w:szCs w:val="19"/>
        </w:rPr>
        <w:t>The Companies Act, 2013</w:t>
      </w:r>
      <w:r w:rsidRPr="00F0757C">
        <w:rPr>
          <w:rFonts w:asciiTheme="minorHAnsi" w:hAnsiTheme="minorHAnsi" w:cstheme="minorHAnsi"/>
          <w:sz w:val="19"/>
          <w:szCs w:val="19"/>
        </w:rPr>
        <w:t xml:space="preserve"> (Bare Act, with Rules).</w:t>
      </w:r>
    </w:p>
    <w:p w14:paraId="2EA2051E" w14:textId="40FAC371" w:rsidR="008467B8" w:rsidRPr="00F0757C" w:rsidRDefault="00F0757C" w:rsidP="00F0757C">
      <w:pPr>
        <w:pStyle w:val="ListParagraph"/>
        <w:numPr>
          <w:ilvl w:val="0"/>
          <w:numId w:val="2"/>
        </w:numPr>
        <w:spacing w:after="60"/>
        <w:rPr>
          <w:rFonts w:asciiTheme="minorHAnsi" w:hAnsiTheme="minorHAnsi" w:cstheme="minorHAnsi"/>
          <w:sz w:val="19"/>
          <w:szCs w:val="19"/>
        </w:rPr>
      </w:pPr>
      <w:r w:rsidRPr="00F0757C">
        <w:rPr>
          <w:rFonts w:asciiTheme="minorHAnsi" w:hAnsiTheme="minorHAnsi" w:cstheme="minorHAnsi"/>
          <w:sz w:val="19"/>
          <w:szCs w:val="19"/>
        </w:rPr>
        <w:t xml:space="preserve">Competition Commission of India. </w:t>
      </w:r>
      <w:r w:rsidRPr="00F0757C">
        <w:rPr>
          <w:rFonts w:asciiTheme="minorHAnsi" w:hAnsiTheme="minorHAnsi" w:cstheme="minorHAnsi"/>
          <w:i/>
          <w:iCs/>
          <w:sz w:val="19"/>
          <w:szCs w:val="19"/>
        </w:rPr>
        <w:t>Annual Report</w:t>
      </w:r>
      <w:r w:rsidRPr="00F0757C">
        <w:rPr>
          <w:rFonts w:asciiTheme="minorHAnsi" w:hAnsiTheme="minorHAnsi" w:cstheme="minorHAnsi"/>
          <w:sz w:val="19"/>
          <w:szCs w:val="19"/>
        </w:rPr>
        <w:t xml:space="preserve"> (Current Year). CCI, New Delhi.</w:t>
      </w:r>
    </w:p>
    <w:p w14:paraId="66CE8C25" w14:textId="0D311291" w:rsidR="00AA13D1" w:rsidRDefault="006145A5">
      <w:pPr>
        <w:pBdr>
          <w:bottom w:val="single" w:sz="6" w:space="2" w:color="C8161D"/>
        </w:pBdr>
        <w:spacing w:before="240" w:after="80"/>
      </w:pPr>
      <w:r>
        <w:rPr>
          <w:b/>
          <w:bCs/>
          <w:color w:val="1B3A6B"/>
          <w:sz w:val="24"/>
          <w:szCs w:val="24"/>
        </w:rPr>
        <w:t>Annexures</w:t>
      </w:r>
    </w:p>
    <w:p w14:paraId="1CE364A6" w14:textId="77777777" w:rsidR="00AA13D1" w:rsidRDefault="006145A5">
      <w:pPr>
        <w:spacing w:before="160" w:after="60"/>
      </w:pPr>
      <w:r>
        <w:rPr>
          <w:b/>
          <w:bCs/>
          <w:color w:val="1B3A6B"/>
          <w:sz w:val="22"/>
          <w:szCs w:val="22"/>
        </w:rPr>
        <w:t>Program Outcomes</w:t>
      </w:r>
    </w:p>
    <w:p w14:paraId="5A98FBC9" w14:textId="77777777" w:rsidR="00AA13D1" w:rsidRDefault="00AA13D1">
      <w:pPr>
        <w:spacing w:before="40"/>
      </w:pPr>
    </w:p>
    <w:tbl>
      <w:tblPr>
        <w:tblW w:w="97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3"/>
        <w:gridCol w:w="8951"/>
      </w:tblGrid>
      <w:tr w:rsidR="00AA13D1" w14:paraId="6AADA8A5" w14:textId="77777777" w:rsidTr="00A22968">
        <w:trPr>
          <w:trHeight w:val="230"/>
        </w:trPr>
        <w:tc>
          <w:tcPr>
            <w:tcW w:w="803" w:type="dxa"/>
            <w:shd w:val="clear" w:color="auto" w:fill="1B3A6B"/>
            <w:tcMar>
              <w:top w:w="100" w:type="dxa"/>
              <w:left w:w="120" w:type="dxa"/>
              <w:bottom w:w="100" w:type="dxa"/>
              <w:right w:w="120" w:type="dxa"/>
            </w:tcMar>
            <w:vAlign w:val="center"/>
          </w:tcPr>
          <w:p w14:paraId="3A0032CC" w14:textId="77777777" w:rsidR="00AA13D1" w:rsidRDefault="006145A5">
            <w:pPr>
              <w:jc w:val="center"/>
            </w:pPr>
            <w:r>
              <w:rPr>
                <w:b/>
                <w:bCs/>
                <w:color w:val="FFFFFF"/>
              </w:rPr>
              <w:t>PO</w:t>
            </w:r>
          </w:p>
        </w:tc>
        <w:tc>
          <w:tcPr>
            <w:tcW w:w="8951" w:type="dxa"/>
            <w:shd w:val="clear" w:color="auto" w:fill="1B3A6B"/>
            <w:tcMar>
              <w:top w:w="100" w:type="dxa"/>
              <w:left w:w="120" w:type="dxa"/>
              <w:bottom w:w="100" w:type="dxa"/>
              <w:right w:w="120" w:type="dxa"/>
            </w:tcMar>
            <w:vAlign w:val="center"/>
          </w:tcPr>
          <w:p w14:paraId="34A9A1B7" w14:textId="77777777" w:rsidR="00AA13D1" w:rsidRDefault="006145A5">
            <w:pPr>
              <w:jc w:val="center"/>
            </w:pPr>
            <w:r>
              <w:rPr>
                <w:b/>
                <w:bCs/>
                <w:color w:val="FFFFFF"/>
              </w:rPr>
              <w:t>Program Outcome Description</w:t>
            </w:r>
          </w:p>
        </w:tc>
      </w:tr>
      <w:tr w:rsidR="00AA13D1" w14:paraId="6AA09404" w14:textId="77777777" w:rsidTr="00F536FD">
        <w:trPr>
          <w:trHeight w:val="488"/>
        </w:trPr>
        <w:tc>
          <w:tcPr>
            <w:tcW w:w="803" w:type="dxa"/>
            <w:tcMar>
              <w:top w:w="80" w:type="dxa"/>
              <w:left w:w="120" w:type="dxa"/>
              <w:bottom w:w="80" w:type="dxa"/>
              <w:right w:w="120" w:type="dxa"/>
            </w:tcMar>
            <w:vAlign w:val="center"/>
          </w:tcPr>
          <w:p w14:paraId="232BA081" w14:textId="77777777" w:rsidR="00AA13D1" w:rsidRDefault="006145A5">
            <w:pPr>
              <w:jc w:val="center"/>
            </w:pPr>
            <w:r>
              <w:rPr>
                <w:b/>
                <w:bCs/>
              </w:rPr>
              <w:t>PO 1</w:t>
            </w:r>
          </w:p>
        </w:tc>
        <w:tc>
          <w:tcPr>
            <w:tcW w:w="8951" w:type="dxa"/>
            <w:tcMar>
              <w:top w:w="80" w:type="dxa"/>
              <w:left w:w="120" w:type="dxa"/>
              <w:bottom w:w="80" w:type="dxa"/>
              <w:right w:w="120" w:type="dxa"/>
            </w:tcMar>
            <w:vAlign w:val="center"/>
          </w:tcPr>
          <w:p w14:paraId="5BB9312E" w14:textId="77777777" w:rsidR="00AA13D1" w:rsidRDefault="006145A5">
            <w:r>
              <w:t>Apply knowledge of management theories and practices to solve business problems.</w:t>
            </w:r>
          </w:p>
        </w:tc>
      </w:tr>
      <w:tr w:rsidR="00AA13D1" w14:paraId="6E3C8444" w14:textId="77777777" w:rsidTr="00F536FD">
        <w:trPr>
          <w:trHeight w:val="488"/>
        </w:trPr>
        <w:tc>
          <w:tcPr>
            <w:tcW w:w="803" w:type="dxa"/>
            <w:tcMar>
              <w:top w:w="80" w:type="dxa"/>
              <w:left w:w="120" w:type="dxa"/>
              <w:bottom w:w="80" w:type="dxa"/>
              <w:right w:w="120" w:type="dxa"/>
            </w:tcMar>
            <w:vAlign w:val="center"/>
          </w:tcPr>
          <w:p w14:paraId="2D5B4348" w14:textId="77777777" w:rsidR="00AA13D1" w:rsidRDefault="006145A5">
            <w:pPr>
              <w:jc w:val="center"/>
            </w:pPr>
            <w:r>
              <w:rPr>
                <w:b/>
                <w:bCs/>
              </w:rPr>
              <w:t>PO 2</w:t>
            </w:r>
          </w:p>
        </w:tc>
        <w:tc>
          <w:tcPr>
            <w:tcW w:w="8951" w:type="dxa"/>
            <w:tcMar>
              <w:top w:w="80" w:type="dxa"/>
              <w:left w:w="120" w:type="dxa"/>
              <w:bottom w:w="80" w:type="dxa"/>
              <w:right w:w="120" w:type="dxa"/>
            </w:tcMar>
            <w:vAlign w:val="center"/>
          </w:tcPr>
          <w:p w14:paraId="2130F53A" w14:textId="77777777" w:rsidR="00AA13D1" w:rsidRDefault="006145A5">
            <w:r>
              <w:t>Foster Analytical and critical thinking abilities for data-based decision making.</w:t>
            </w:r>
          </w:p>
        </w:tc>
      </w:tr>
      <w:tr w:rsidR="00AA13D1" w14:paraId="374D0A78" w14:textId="77777777" w:rsidTr="00F536FD">
        <w:trPr>
          <w:trHeight w:val="488"/>
        </w:trPr>
        <w:tc>
          <w:tcPr>
            <w:tcW w:w="803" w:type="dxa"/>
            <w:tcMar>
              <w:top w:w="80" w:type="dxa"/>
              <w:left w:w="120" w:type="dxa"/>
              <w:bottom w:w="80" w:type="dxa"/>
              <w:right w:w="120" w:type="dxa"/>
            </w:tcMar>
            <w:vAlign w:val="center"/>
          </w:tcPr>
          <w:p w14:paraId="22AB0882" w14:textId="77777777" w:rsidR="00AA13D1" w:rsidRDefault="006145A5">
            <w:pPr>
              <w:jc w:val="center"/>
            </w:pPr>
            <w:r>
              <w:rPr>
                <w:b/>
                <w:bCs/>
              </w:rPr>
              <w:t>PO 3</w:t>
            </w:r>
          </w:p>
        </w:tc>
        <w:tc>
          <w:tcPr>
            <w:tcW w:w="8951" w:type="dxa"/>
            <w:tcMar>
              <w:top w:w="80" w:type="dxa"/>
              <w:left w:w="120" w:type="dxa"/>
              <w:bottom w:w="80" w:type="dxa"/>
              <w:right w:w="120" w:type="dxa"/>
            </w:tcMar>
            <w:vAlign w:val="center"/>
          </w:tcPr>
          <w:p w14:paraId="16723AF8" w14:textId="77777777" w:rsidR="00AA13D1" w:rsidRDefault="006145A5">
            <w:r>
              <w:t>Ability to develop Value based Leadership ability.</w:t>
            </w:r>
          </w:p>
        </w:tc>
      </w:tr>
      <w:tr w:rsidR="00AA13D1" w14:paraId="7332723E" w14:textId="77777777" w:rsidTr="00F536FD">
        <w:trPr>
          <w:trHeight w:val="488"/>
        </w:trPr>
        <w:tc>
          <w:tcPr>
            <w:tcW w:w="803" w:type="dxa"/>
            <w:tcMar>
              <w:top w:w="80" w:type="dxa"/>
              <w:left w:w="120" w:type="dxa"/>
              <w:bottom w:w="80" w:type="dxa"/>
              <w:right w:w="120" w:type="dxa"/>
            </w:tcMar>
            <w:vAlign w:val="center"/>
          </w:tcPr>
          <w:p w14:paraId="21977749" w14:textId="77777777" w:rsidR="00AA13D1" w:rsidRDefault="006145A5">
            <w:pPr>
              <w:jc w:val="center"/>
            </w:pPr>
            <w:r>
              <w:rPr>
                <w:b/>
                <w:bCs/>
              </w:rPr>
              <w:t>PO 4</w:t>
            </w:r>
          </w:p>
        </w:tc>
        <w:tc>
          <w:tcPr>
            <w:tcW w:w="8951" w:type="dxa"/>
            <w:tcMar>
              <w:top w:w="80" w:type="dxa"/>
              <w:left w:w="120" w:type="dxa"/>
              <w:bottom w:w="80" w:type="dxa"/>
              <w:right w:w="120" w:type="dxa"/>
            </w:tcMar>
            <w:vAlign w:val="center"/>
          </w:tcPr>
          <w:p w14:paraId="4AC7EF41" w14:textId="77777777" w:rsidR="00AA13D1" w:rsidRDefault="006145A5">
            <w:r>
              <w:t>Ability to understand, analyse and communicate global, economic, legal, and ethical aspects of business.</w:t>
            </w:r>
          </w:p>
        </w:tc>
      </w:tr>
      <w:tr w:rsidR="00AA13D1" w14:paraId="7DF644C4" w14:textId="77777777" w:rsidTr="00F536FD">
        <w:trPr>
          <w:trHeight w:val="488"/>
        </w:trPr>
        <w:tc>
          <w:tcPr>
            <w:tcW w:w="803" w:type="dxa"/>
            <w:tcMar>
              <w:top w:w="80" w:type="dxa"/>
              <w:left w:w="120" w:type="dxa"/>
              <w:bottom w:w="80" w:type="dxa"/>
              <w:right w:w="120" w:type="dxa"/>
            </w:tcMar>
            <w:vAlign w:val="center"/>
          </w:tcPr>
          <w:p w14:paraId="7155A85C" w14:textId="77777777" w:rsidR="00AA13D1" w:rsidRDefault="006145A5">
            <w:pPr>
              <w:jc w:val="center"/>
            </w:pPr>
            <w:r>
              <w:rPr>
                <w:b/>
                <w:bCs/>
              </w:rPr>
              <w:t>PO 5</w:t>
            </w:r>
          </w:p>
        </w:tc>
        <w:tc>
          <w:tcPr>
            <w:tcW w:w="8951" w:type="dxa"/>
            <w:tcMar>
              <w:top w:w="80" w:type="dxa"/>
              <w:left w:w="120" w:type="dxa"/>
              <w:bottom w:w="80" w:type="dxa"/>
              <w:right w:w="120" w:type="dxa"/>
            </w:tcMar>
            <w:vAlign w:val="center"/>
          </w:tcPr>
          <w:p w14:paraId="7E28CABA" w14:textId="77777777" w:rsidR="00AA13D1" w:rsidRDefault="006145A5">
            <w:r>
              <w:t>Ability to lead themselves and others in the achievement of organizational goals, contributing effectively to a team environment.</w:t>
            </w:r>
          </w:p>
        </w:tc>
      </w:tr>
    </w:tbl>
    <w:p w14:paraId="0B3DF2FA" w14:textId="77777777" w:rsidR="006145A5" w:rsidRDefault="006145A5" w:rsidP="00A22968">
      <w:pPr>
        <w:spacing w:before="180"/>
      </w:pPr>
    </w:p>
    <w:sectPr w:rsidR="006145A5">
      <w:headerReference w:type="default" r:id="rId7"/>
      <w:footerReference w:type="default" r:id="rId8"/>
      <w:pgSz w:w="11906" w:h="16838"/>
      <w:pgMar w:top="1100" w:right="1100" w:bottom="11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12709" w14:textId="77777777" w:rsidR="001727E7" w:rsidRDefault="001727E7">
      <w:r>
        <w:separator/>
      </w:r>
    </w:p>
  </w:endnote>
  <w:endnote w:type="continuationSeparator" w:id="0">
    <w:p w14:paraId="7BC7A741" w14:textId="77777777" w:rsidR="001727E7" w:rsidRDefault="001727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C0E05" w14:textId="77777777" w:rsidR="00AA13D1" w:rsidRDefault="006145A5">
    <w:pPr>
      <w:pBdr>
        <w:top w:val="single" w:sz="6" w:space="0" w:color="1B3A6B"/>
      </w:pBdr>
      <w:spacing w:before="60"/>
      <w:jc w:val="center"/>
    </w:pPr>
    <w:r>
      <w:rPr>
        <w:color w:val="1B3A6B"/>
        <w:sz w:val="16"/>
        <w:szCs w:val="16"/>
      </w:rPr>
      <w:t>PGDM Syllabus – Batch 2026–</w:t>
    </w:r>
    <w:proofErr w:type="gramStart"/>
    <w:r>
      <w:rPr>
        <w:color w:val="1B3A6B"/>
        <w:sz w:val="16"/>
        <w:szCs w:val="16"/>
      </w:rPr>
      <w:t>2028  |</w:t>
    </w:r>
    <w:proofErr w:type="gramEnd"/>
    <w:r>
      <w:rPr>
        <w:color w:val="1B3A6B"/>
        <w:sz w:val="16"/>
        <w:szCs w:val="16"/>
      </w:rPr>
      <w:t xml:space="preserve">  Business </w:t>
    </w:r>
    <w:proofErr w:type="gramStart"/>
    <w:r>
      <w:rPr>
        <w:color w:val="1B3A6B"/>
        <w:sz w:val="16"/>
        <w:szCs w:val="16"/>
      </w:rPr>
      <w:t>Communication  |</w:t>
    </w:r>
    <w:proofErr w:type="gramEnd"/>
    <w:r>
      <w:rPr>
        <w:color w:val="1B3A6B"/>
        <w:sz w:val="16"/>
        <w:szCs w:val="16"/>
      </w:rPr>
      <w:t xml:space="preserve">  1GNC</w:t>
    </w:r>
    <w:proofErr w:type="gramStart"/>
    <w:r>
      <w:rPr>
        <w:color w:val="1B3A6B"/>
        <w:sz w:val="16"/>
        <w:szCs w:val="16"/>
      </w:rPr>
      <w:t>02  |</w:t>
    </w:r>
    <w:proofErr w:type="gramEnd"/>
    <w:r>
      <w:rPr>
        <w:color w:val="1B3A6B"/>
        <w:sz w:val="16"/>
        <w:szCs w:val="16"/>
      </w:rPr>
      <w:t xml:space="preserve">  Lexicon MILE, Pune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73F0C1" w14:textId="77777777" w:rsidR="001727E7" w:rsidRDefault="001727E7">
      <w:r>
        <w:separator/>
      </w:r>
    </w:p>
  </w:footnote>
  <w:footnote w:type="continuationSeparator" w:id="0">
    <w:p w14:paraId="0FB34249" w14:textId="77777777" w:rsidR="001727E7" w:rsidRDefault="001727E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06" w:type="dxa"/>
      <w:tblBorders>
        <w:top w:val="none" w:sz="0" w:space="0" w:color="FFFFFF"/>
        <w:left w:val="none" w:sz="0" w:space="0" w:color="FFFFFF"/>
        <w:bottom w:val="single" w:sz="10" w:space="0" w:color="1B3A6B"/>
        <w:right w:val="none" w:sz="0" w:space="0" w:color="FFFFFF"/>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61"/>
      <w:gridCol w:w="2345"/>
    </w:tblGrid>
    <w:tr w:rsidR="00AA13D1" w14:paraId="3D6C6A93" w14:textId="77777777">
      <w:tc>
        <w:tcPr>
          <w:tcW w:w="7506" w:type="dxa"/>
          <w:tcBorders>
            <w:top w:val="none" w:sz="0" w:space="0" w:color="FFFFFF"/>
            <w:left w:val="none" w:sz="0" w:space="0" w:color="FFFFFF"/>
            <w:bottom w:val="none" w:sz="0" w:space="0" w:color="FFFFFF"/>
            <w:right w:val="none" w:sz="0" w:space="0" w:color="FFFFFF"/>
          </w:tcBorders>
        </w:tcPr>
        <w:p w14:paraId="342B8EAB" w14:textId="77777777" w:rsidR="00AA13D1" w:rsidRDefault="00AA13D1"/>
      </w:tc>
      <w:tc>
        <w:tcPr>
          <w:tcW w:w="2200" w:type="dxa"/>
          <w:tcBorders>
            <w:top w:val="none" w:sz="0" w:space="0" w:color="FFFFFF"/>
            <w:left w:val="none" w:sz="0" w:space="0" w:color="FFFFFF"/>
            <w:bottom w:val="none" w:sz="0" w:space="0" w:color="FFFFFF"/>
            <w:right w:val="none" w:sz="0" w:space="0" w:color="FFFFFF"/>
          </w:tcBorders>
        </w:tcPr>
        <w:p w14:paraId="060D0B05" w14:textId="77777777" w:rsidR="00AA13D1" w:rsidRDefault="006145A5">
          <w:pPr>
            <w:jc w:val="right"/>
          </w:pPr>
          <w:r>
            <w:rPr>
              <w:noProof/>
            </w:rPr>
            <w:drawing>
              <wp:inline distT="0" distB="0" distL="0" distR="0" wp14:anchorId="7AF8655E" wp14:editId="2655CE19">
                <wp:extent cx="1476375" cy="5905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1476375" cy="590550"/>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E1ABF"/>
    <w:multiLevelType w:val="hybridMultilevel"/>
    <w:tmpl w:val="791A5E2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 w15:restartNumberingAfterBreak="0">
    <w:nsid w:val="0D4F3E67"/>
    <w:multiLevelType w:val="hybridMultilevel"/>
    <w:tmpl w:val="47564582"/>
    <w:lvl w:ilvl="0" w:tplc="FE8C0162">
      <w:start w:val="1"/>
      <w:numFmt w:val="bullet"/>
      <w:lvlText w:val="●"/>
      <w:lvlJc w:val="left"/>
      <w:pPr>
        <w:ind w:left="720" w:hanging="360"/>
      </w:pPr>
    </w:lvl>
    <w:lvl w:ilvl="1" w:tplc="87E621DE">
      <w:start w:val="1"/>
      <w:numFmt w:val="bullet"/>
      <w:lvlText w:val="○"/>
      <w:lvlJc w:val="left"/>
      <w:pPr>
        <w:ind w:left="1440" w:hanging="360"/>
      </w:pPr>
    </w:lvl>
    <w:lvl w:ilvl="2" w:tplc="CC8E04C8">
      <w:start w:val="1"/>
      <w:numFmt w:val="bullet"/>
      <w:lvlText w:val="■"/>
      <w:lvlJc w:val="left"/>
      <w:pPr>
        <w:ind w:left="2160" w:hanging="360"/>
      </w:pPr>
    </w:lvl>
    <w:lvl w:ilvl="3" w:tplc="AE3A763C">
      <w:start w:val="1"/>
      <w:numFmt w:val="bullet"/>
      <w:lvlText w:val="●"/>
      <w:lvlJc w:val="left"/>
      <w:pPr>
        <w:ind w:left="2880" w:hanging="360"/>
      </w:pPr>
    </w:lvl>
    <w:lvl w:ilvl="4" w:tplc="6FBCEE90">
      <w:start w:val="1"/>
      <w:numFmt w:val="bullet"/>
      <w:lvlText w:val="○"/>
      <w:lvlJc w:val="left"/>
      <w:pPr>
        <w:ind w:left="3600" w:hanging="360"/>
      </w:pPr>
    </w:lvl>
    <w:lvl w:ilvl="5" w:tplc="986A95B0">
      <w:start w:val="1"/>
      <w:numFmt w:val="bullet"/>
      <w:lvlText w:val="■"/>
      <w:lvlJc w:val="left"/>
      <w:pPr>
        <w:ind w:left="4320" w:hanging="360"/>
      </w:pPr>
    </w:lvl>
    <w:lvl w:ilvl="6" w:tplc="FFC0234E">
      <w:start w:val="1"/>
      <w:numFmt w:val="bullet"/>
      <w:lvlText w:val="●"/>
      <w:lvlJc w:val="left"/>
      <w:pPr>
        <w:ind w:left="5040" w:hanging="360"/>
      </w:pPr>
    </w:lvl>
    <w:lvl w:ilvl="7" w:tplc="BDA4C824">
      <w:start w:val="1"/>
      <w:numFmt w:val="bullet"/>
      <w:lvlText w:val="●"/>
      <w:lvlJc w:val="left"/>
      <w:pPr>
        <w:ind w:left="5760" w:hanging="360"/>
      </w:pPr>
    </w:lvl>
    <w:lvl w:ilvl="8" w:tplc="ADA076F6">
      <w:start w:val="1"/>
      <w:numFmt w:val="bullet"/>
      <w:lvlText w:val="●"/>
      <w:lvlJc w:val="left"/>
      <w:pPr>
        <w:ind w:left="6480" w:hanging="360"/>
      </w:pPr>
    </w:lvl>
  </w:abstractNum>
  <w:abstractNum w:abstractNumId="2" w15:restartNumberingAfterBreak="0">
    <w:nsid w:val="61634E9B"/>
    <w:multiLevelType w:val="hybridMultilevel"/>
    <w:tmpl w:val="9866F318"/>
    <w:lvl w:ilvl="0" w:tplc="8E668392">
      <w:start w:val="1"/>
      <w:numFmt w:val="bullet"/>
      <w:lvlText w:val="•"/>
      <w:lvlJc w:val="left"/>
      <w:pPr>
        <w:ind w:left="480" w:hanging="240"/>
      </w:pPr>
    </w:lvl>
    <w:lvl w:ilvl="1" w:tplc="DD849802">
      <w:start w:val="1"/>
      <w:numFmt w:val="bullet"/>
      <w:lvlText w:val="○"/>
      <w:lvlJc w:val="left"/>
      <w:pPr>
        <w:ind w:left="960" w:hanging="240"/>
      </w:pPr>
    </w:lvl>
    <w:lvl w:ilvl="2" w:tplc="0618425C">
      <w:numFmt w:val="decimal"/>
      <w:lvlText w:val=""/>
      <w:lvlJc w:val="left"/>
    </w:lvl>
    <w:lvl w:ilvl="3" w:tplc="4AD06FC4">
      <w:numFmt w:val="decimal"/>
      <w:lvlText w:val=""/>
      <w:lvlJc w:val="left"/>
    </w:lvl>
    <w:lvl w:ilvl="4" w:tplc="2042D5BC">
      <w:numFmt w:val="decimal"/>
      <w:lvlText w:val=""/>
      <w:lvlJc w:val="left"/>
    </w:lvl>
    <w:lvl w:ilvl="5" w:tplc="2626D222">
      <w:numFmt w:val="decimal"/>
      <w:lvlText w:val=""/>
      <w:lvlJc w:val="left"/>
    </w:lvl>
    <w:lvl w:ilvl="6" w:tplc="E6E6A176">
      <w:numFmt w:val="decimal"/>
      <w:lvlText w:val=""/>
      <w:lvlJc w:val="left"/>
    </w:lvl>
    <w:lvl w:ilvl="7" w:tplc="99DE68CA">
      <w:numFmt w:val="decimal"/>
      <w:lvlText w:val=""/>
      <w:lvlJc w:val="left"/>
    </w:lvl>
    <w:lvl w:ilvl="8" w:tplc="85B63334">
      <w:numFmt w:val="decimal"/>
      <w:lvlText w:val=""/>
      <w:lvlJc w:val="left"/>
    </w:lvl>
  </w:abstractNum>
  <w:abstractNum w:abstractNumId="3" w15:restartNumberingAfterBreak="0">
    <w:nsid w:val="7A387AC5"/>
    <w:multiLevelType w:val="hybridMultilevel"/>
    <w:tmpl w:val="32D6A1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921454571">
    <w:abstractNumId w:val="1"/>
    <w:lvlOverride w:ilvl="0">
      <w:startOverride w:val="1"/>
    </w:lvlOverride>
  </w:num>
  <w:num w:numId="2" w16cid:durableId="832647529">
    <w:abstractNumId w:val="2"/>
    <w:lvlOverride w:ilvl="0">
      <w:startOverride w:val="1"/>
    </w:lvlOverride>
  </w:num>
  <w:num w:numId="3" w16cid:durableId="167133647">
    <w:abstractNumId w:val="0"/>
  </w:num>
  <w:num w:numId="4" w16cid:durableId="4422632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13D1"/>
    <w:rsid w:val="000A671E"/>
    <w:rsid w:val="00105AC8"/>
    <w:rsid w:val="0016423E"/>
    <w:rsid w:val="001727E7"/>
    <w:rsid w:val="00217F68"/>
    <w:rsid w:val="00243A6E"/>
    <w:rsid w:val="002A6ED2"/>
    <w:rsid w:val="002E0428"/>
    <w:rsid w:val="0041655B"/>
    <w:rsid w:val="005C3D3A"/>
    <w:rsid w:val="006145A5"/>
    <w:rsid w:val="006856C9"/>
    <w:rsid w:val="00696E34"/>
    <w:rsid w:val="007C4922"/>
    <w:rsid w:val="00806C75"/>
    <w:rsid w:val="008223E8"/>
    <w:rsid w:val="008467B8"/>
    <w:rsid w:val="008A5502"/>
    <w:rsid w:val="008E13C4"/>
    <w:rsid w:val="009B4FC8"/>
    <w:rsid w:val="009D300F"/>
    <w:rsid w:val="00A22968"/>
    <w:rsid w:val="00AA13D1"/>
    <w:rsid w:val="00B7792A"/>
    <w:rsid w:val="00BB3ED3"/>
    <w:rsid w:val="00C43698"/>
    <w:rsid w:val="00D815D6"/>
    <w:rsid w:val="00F0757C"/>
    <w:rsid w:val="00F536FD"/>
    <w:rsid w:val="00FB5F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459E92"/>
  <w15:docId w15:val="{A7A93EA0-E8CE-4931-9D28-7674DB76E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C3E50"/>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unhideWhenUsed/>
    <w:qFormat/>
    <w:pPr>
      <w:outlineLvl w:val="3"/>
    </w:pPr>
    <w:rPr>
      <w:i/>
      <w:iCs/>
      <w:color w:val="2E74B5"/>
    </w:rPr>
  </w:style>
  <w:style w:type="paragraph" w:styleId="Heading5">
    <w:name w:val="heading 5"/>
    <w:uiPriority w:val="9"/>
    <w:unhideWhenUsed/>
    <w:qFormat/>
    <w:pPr>
      <w:outlineLvl w:val="4"/>
    </w:pPr>
    <w:rPr>
      <w:color w:val="2E74B5"/>
    </w:rPr>
  </w:style>
  <w:style w:type="paragraph" w:styleId="Heading6">
    <w:name w:val="heading 6"/>
    <w:uiPriority w:val="9"/>
    <w:unhideWhenUsed/>
    <w:qFormat/>
    <w:pPr>
      <w:outlineLvl w:val="5"/>
    </w:pPr>
    <w:rPr>
      <w:color w:val="1F4D78"/>
    </w:rPr>
  </w:style>
  <w:style w:type="paragraph" w:styleId="Heading7">
    <w:name w:val="heading 7"/>
    <w:basedOn w:val="Normal"/>
    <w:next w:val="Normal"/>
    <w:link w:val="Heading7Char"/>
    <w:uiPriority w:val="9"/>
    <w:unhideWhenUsed/>
    <w:qFormat/>
    <w:rsid w:val="008A5502"/>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8A5502"/>
    <w:pPr>
      <w:keepNext/>
      <w:keepLines/>
      <w:spacing w:before="40"/>
      <w:outlineLvl w:val="7"/>
    </w:pPr>
    <w:rPr>
      <w:rFonts w:asciiTheme="majorHAnsi" w:eastAsiaTheme="majorEastAsia" w:hAnsiTheme="majorHAnsi" w:cstheme="majorBidi"/>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Heading7Char">
    <w:name w:val="Heading 7 Char"/>
    <w:basedOn w:val="DefaultParagraphFont"/>
    <w:link w:val="Heading7"/>
    <w:uiPriority w:val="9"/>
    <w:rsid w:val="008A5502"/>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8A5502"/>
    <w:rPr>
      <w:rFonts w:asciiTheme="majorHAnsi" w:eastAsiaTheme="majorEastAsia" w:hAnsiTheme="majorHAnsi" w:cstheme="majorBidi"/>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689</TotalTime>
  <Pages>1</Pages>
  <Words>2271</Words>
  <Characters>12947</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Deepak Gupta</cp:lastModifiedBy>
  <cp:revision>18</cp:revision>
  <dcterms:created xsi:type="dcterms:W3CDTF">2026-07-09T07:24:00Z</dcterms:created>
  <dcterms:modified xsi:type="dcterms:W3CDTF">2026-07-23T17:56:00Z</dcterms:modified>
</cp:coreProperties>
</file>