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jc w:val="center"/>
      </w:pPr>
      <w:r>
        <w:rPr>
          <w:rFonts w:ascii="Calibri" w:cs="Calibri" w:eastAsia="Calibri" w:hAnsi="Calibri"/>
          <w:b/>
          <w:bCs/>
          <w:color w:val="162A4A"/>
          <w:sz w:val="56"/>
          <w:szCs w:val="56"/>
        </w:rPr>
        <w:t xml:space="preserve">LEXICON MILE</w:t>
      </w:r>
    </w:p>
    <w:p>
      <w:pPr>
        <w:spacing w:after="500"/>
        <w:jc w:val="center"/>
      </w:pPr>
      <w:r>
        <w:rPr>
          <w:rFonts w:ascii="Calibri" w:cs="Calibri" w:eastAsia="Calibri" w:hAnsi="Calibri"/>
          <w:i/>
          <w:iCs/>
          <w:color w:val="595959"/>
          <w:sz w:val="24"/>
          <w:szCs w:val="24"/>
        </w:rPr>
        <w:t xml:space="preserve">Management Institute for Leadership &amp; Excellence</w:t>
      </w:r>
    </w:p>
    <w:p>
      <w:pPr>
        <w:pBdr>
          <w:bottom w:val="single" w:color="9C7A2A" w:sz="10" w:space="12"/>
        </w:pBdr>
        <w:spacing w:after="500"/>
      </w:pPr>
    </w:p>
    <w:p>
      <w:pPr>
        <w:spacing w:after="60"/>
        <w:jc w:val="center"/>
      </w:pPr>
      <w:r>
        <w:rPr>
          <w:rFonts w:ascii="Calibri" w:cs="Calibri" w:eastAsia="Calibri" w:hAnsi="Calibri"/>
          <w:b/>
          <w:bCs/>
          <w:color w:val="1F3864"/>
          <w:sz w:val="40"/>
          <w:szCs w:val="40"/>
        </w:rPr>
        <w:t xml:space="preserve">HyperBuild AI Lab</w:t>
      </w:r>
    </w:p>
    <w:p>
      <w:pPr>
        <w:spacing w:after="400"/>
        <w:jc w:val="center"/>
      </w:pPr>
      <w:r>
        <w:rPr>
          <w:rFonts w:ascii="Calibri" w:cs="Calibri" w:eastAsia="Calibri" w:hAnsi="Calibri"/>
          <w:color w:val="162A4A"/>
          <w:sz w:val="30"/>
          <w:szCs w:val="30"/>
        </w:rPr>
        <w:t xml:space="preserve">AI-Integrated Activity Bank</w:t>
      </w:r>
    </w:p>
    <w:p>
      <w:pPr>
        <w:spacing w:after="200"/>
        <w:jc w:val="center"/>
      </w:pPr>
      <w:r>
        <w:rPr>
          <w:rFonts w:ascii="Calibri" w:cs="Calibri" w:eastAsia="Calibri" w:hAnsi="Calibri"/>
          <w:color w:val="595959"/>
          <w:sz w:val="21"/>
          <w:szCs w:val="21"/>
        </w:rPr>
        <w:t xml:space="preserve">16 AI-Integrated Activities  •  Step-by-Step Instructions  •  Grading Rubrics</w:t>
      </w:r>
    </w:p>
    <w:p>
      <w:pPr>
        <w:spacing w:after="600"/>
        <w:jc w:val="center"/>
      </w:pPr>
      <w:r>
        <w:rPr>
          <w:rFonts w:ascii="Calibri" w:cs="Calibri" w:eastAsia="Calibri" w:hAnsi="Calibri"/>
          <w:i/>
          <w:iCs/>
          <w:color w:val="595959"/>
          <w:sz w:val="20"/>
          <w:szCs w:val="20"/>
        </w:rPr>
        <w:t xml:space="preserve">Designed for self-directed learning — no faculty support required to complete any activity</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6500"/>
      </w:tblGrid>
      <w:tr>
        <w:tc>
          <w:tcPr>
            <w:tcW w:type="dxa" w:w="6500"/>
            <w:tcBorders>
              <w:top w:val="none" w:color="FFFFFF" w:sz="0"/>
              <w:left w:val="none" w:color="FFFFFF" w:sz="0"/>
              <w:bottom w:val="none" w:color="FFFFFF" w:sz="0"/>
              <w:right w:val="none" w:color="FFFFFF" w:sz="0"/>
            </w:tcBorders>
            <w:shd w:fill="DCE6F1" w:color="auto" w:val="clear"/>
            <w:tcMar>
              <w:top w:type="dxa" w:w="220"/>
              <w:left w:type="dxa" w:w="260"/>
              <w:bottom w:type="dxa" w:w="220"/>
              <w:right w:type="dxa" w:w="260"/>
            </w:tcMar>
          </w:tcPr>
          <w:p>
            <w:pPr>
              <w:spacing w:after="60"/>
              <w:jc w:val="center"/>
            </w:pPr>
            <w:r>
              <w:rPr>
                <w:rFonts w:ascii="Calibri" w:cs="Calibri" w:eastAsia="Calibri" w:hAnsi="Calibri"/>
                <w:b/>
                <w:bCs/>
                <w:color w:val="162A4A"/>
                <w:sz w:val="26"/>
                <w:szCs w:val="26"/>
              </w:rPr>
              <w:t xml:space="preserve">Legal Aspects of Business</w:t>
            </w:r>
          </w:p>
          <w:p>
            <w:pPr>
              <w:spacing w:after="40"/>
              <w:jc w:val="center"/>
            </w:pPr>
            <w:r>
              <w:rPr>
                <w:rFonts w:ascii="Calibri" w:cs="Calibri" w:eastAsia="Calibri" w:hAnsi="Calibri"/>
                <w:color w:val="595959"/>
                <w:sz w:val="20"/>
                <w:szCs w:val="20"/>
              </w:rPr>
              <w:t xml:space="preserve">Course Code: 1GNC03</w:t>
            </w:r>
          </w:p>
          <w:p>
            <w:pPr>
              <w:spacing w:after="0"/>
              <w:jc w:val="center"/>
            </w:pPr>
            <w:r>
              <w:rPr>
                <w:rFonts w:ascii="Calibri" w:cs="Calibri" w:eastAsia="Calibri" w:hAnsi="Calibri"/>
                <w:color w:val="595959"/>
                <w:sz w:val="20"/>
                <w:szCs w:val="20"/>
              </w:rPr>
              <w:t xml:space="preserve">PGDM Batch 2026–28  |  Trimester I</w:t>
            </w:r>
          </w:p>
        </w:tc>
      </w:tr>
    </w:tbl>
    <w:p>
      <w:pPr>
        <w:spacing w:after="30" w:before="900"/>
        <w:jc w:val="center"/>
      </w:pPr>
      <w:r>
        <w:rPr>
          <w:rFonts w:ascii="Calibri" w:cs="Calibri" w:eastAsia="Calibri" w:hAnsi="Calibri"/>
          <w:b/>
          <w:bCs/>
          <w:color w:val="162A4A"/>
          <w:sz w:val="22"/>
          <w:szCs w:val="22"/>
        </w:rPr>
        <w:t xml:space="preserve">Prof. Deepak Gupta</w:t>
      </w:r>
    </w:p>
    <w:p>
      <w:pPr>
        <w:spacing w:after="0"/>
        <w:jc w:val="center"/>
      </w:pPr>
      <w:r>
        <w:rPr>
          <w:rFonts w:ascii="Calibri" w:cs="Calibri" w:eastAsia="Calibri" w:hAnsi="Calibri"/>
          <w:i/>
          <w:iCs/>
          <w:color w:val="595959"/>
          <w:sz w:val="18"/>
          <w:szCs w:val="18"/>
        </w:rPr>
        <w:t xml:space="preserve">Head — AI &amp; Analytics  |  HyperBuild AI Lab  |  Lexicon MILE, Pune</w:t>
      </w:r>
    </w:p>
    <w:p>
      <w:pPr>
        <w:pStyle w:val="Heading1"/>
        <w:pageBreakBefore/>
        <w:spacing w:after="160"/>
      </w:pPr>
      <w:r>
        <w:rPr>
          <w:rFonts w:ascii="Calibri" w:cs="Calibri" w:eastAsia="Calibri" w:hAnsi="Calibri"/>
          <w:b/>
          <w:bCs/>
          <w:color w:val="162A4A"/>
        </w:rPr>
        <w:t xml:space="preserve">How to Use This Document</w:t>
      </w:r>
    </w:p>
    <w:p>
      <w:pPr>
        <w:spacing w:after="120"/>
      </w:pPr>
      <w:r>
        <w:rPr>
          <w:rFonts w:ascii="Calibri" w:cs="Calibri" w:eastAsia="Calibri" w:hAnsi="Calibri"/>
          <w:sz w:val="21"/>
          <w:szCs w:val="21"/>
        </w:rPr>
        <w:t xml:space="preserve">This Activity Bank is your complete self-guided workbook for the Legal Aspects of Business HyperBuild Lab component. Every activity in this document has been designed so that you can complete it independently, without waiting for a faculty session or any external guidance. Read each section carefully before you begin an activity.</w:t>
      </w:r>
    </w:p>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Why This Activity</w:t>
            </w:r>
          </w:p>
        </w:tc>
        <w:tc>
          <w:tcPr>
            <w:tcW w:type="dxa" w:w="64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Read this first. It explains the business relevance of the activity, how it connects to the syllabus, and why it will matter for your placement.</w:t>
            </w:r>
          </w:p>
        </w:tc>
      </w:tr>
      <w:tr>
        <w:tc>
          <w:tcPr>
            <w:tcW w:type="dxa" w:w="26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Step-by-Step Instructions</w:t>
            </w:r>
          </w:p>
        </w:tc>
        <w:tc>
          <w:tcPr>
            <w:tcW w:type="dxa" w:w="64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Follow these in order. Each step tells you exactly which tool or legal source to use, which prompt to use, and what to record or produce.</w:t>
            </w:r>
          </w:p>
        </w:tc>
      </w:tr>
      <w:tr>
        <w:tc>
          <w:tcPr>
            <w:tcW w:type="dxa" w:w="260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Tools &amp; Platforms</w:t>
            </w:r>
          </w:p>
        </w:tc>
        <w:tc>
          <w:tcPr>
            <w:tcW w:type="dxa" w:w="64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 table listing every AI tool, legal research platform, or regulatory portal used in the activity — with its category, specific purpose, and the URL to access it. All tools are free or accessible via your college login unless stated otherwise.</w:t>
            </w:r>
          </w:p>
        </w:tc>
      </w:tr>
      <w:tr>
        <w:tc>
          <w:tcPr>
            <w:tcW w:type="dxa" w:w="26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Learning Outcomes</w:t>
            </w:r>
          </w:p>
        </w:tc>
        <w:tc>
          <w:tcPr>
            <w:tcW w:type="dxa" w:w="64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What you will be able to do after completing the activity.</w:t>
            </w:r>
          </w:p>
        </w:tc>
      </w:tr>
      <w:tr>
        <w:tc>
          <w:tcPr>
            <w:tcW w:type="dxa" w:w="260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Assessment Task &amp; Submission</w:t>
            </w:r>
          </w:p>
        </w:tc>
        <w:tc>
          <w:tcPr>
            <w:tcW w:type="dxa" w:w="64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The specific deliverable you must submit, the file naming convention, and the format required.</w:t>
            </w:r>
          </w:p>
        </w:tc>
      </w:tr>
      <w:tr>
        <w:tc>
          <w:tcPr>
            <w:tcW w:type="dxa" w:w="26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Grading Rubric</w:t>
            </w:r>
          </w:p>
        </w:tc>
        <w:tc>
          <w:tcPr>
            <w:tcW w:type="dxa" w:w="64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 four-level rubric (Distinction / Merit / Pass / Needs Improvement) with specific behavioural descriptors at every level for every criterion. Read this BEFORE you start — it tells you exactly what the highest standard looks like.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2"/>
              <w:left w:val="single" w:color="BFBFBF" w:sz="2"/>
              <w:bottom w:val="single" w:color="BFBFBF" w:sz="2"/>
              <w:right w:val="single" w:color="BFBFBF" w:sz="2"/>
            </w:tcBorders>
            <w:shd w:fill="FCF3D9" w:color="auto" w:val="clear"/>
            <w:tcMar>
              <w:top w:type="dxa" w:w="180"/>
              <w:left w:type="dxa" w:w="200"/>
              <w:bottom w:type="dxa" w:w="180"/>
              <w:right w:type="dxa" w:w="200"/>
            </w:tcMar>
          </w:tcPr>
          <w:p>
            <w:pPr>
              <w:spacing w:after="100"/>
            </w:pPr>
            <w:r>
              <w:rPr>
                <w:rFonts w:ascii="Calibri" w:cs="Calibri" w:eastAsia="Calibri" w:hAnsi="Calibri"/>
                <w:b/>
                <w:bCs/>
                <w:color w:val="162A4A"/>
                <w:sz w:val="22"/>
                <w:szCs w:val="22"/>
              </w:rPr>
              <w:t xml:space="preserve">Important: Academic Integrity Note</w:t>
            </w:r>
          </w:p>
          <w:p>
            <w:pPr>
              <w:pStyle w:val="ListParagraph"/>
              <w:numPr>
                <w:ilvl w:val="0"/>
                <w:numId w:val="2"/>
              </w:numPr>
              <w:spacing w:after="100"/>
            </w:pPr>
            <w:r>
              <w:rPr>
                <w:rFonts w:ascii="Calibri" w:cs="Calibri" w:eastAsia="Calibri" w:hAnsi="Calibri"/>
                <w:sz w:val="20"/>
                <w:szCs w:val="20"/>
              </w:rPr>
              <w:t xml:space="preserve">You are expected to USE AI tools as described in each activity. Using AI is the learning objective — it is not a shortcut to be avoided.</w:t>
            </w:r>
          </w:p>
          <w:p>
            <w:pPr>
              <w:pStyle w:val="ListParagraph"/>
              <w:numPr>
                <w:ilvl w:val="0"/>
                <w:numId w:val="2"/>
              </w:numPr>
              <w:spacing w:after="100"/>
            </w:pPr>
            <w:r>
              <w:rPr>
                <w:rFonts w:ascii="Calibri" w:cs="Calibri" w:eastAsia="Calibri" w:hAnsi="Calibri"/>
                <w:sz w:val="20"/>
                <w:szCs w:val="20"/>
              </w:rPr>
              <w:t xml:space="preserve">AI-assisted legal research carries a well-documented risk of fabricated case names, citations, and holdings. You are expected to INDEPENDENTLY VERIFY every AI-generated legal or factual claim against a primary source (a bare Act, an official judgment, or a recognised legal database) before relying on it. Submitting an unverified AI-generated legal claim as fact is not acceptable.</w:t>
            </w:r>
          </w:p>
          <w:p>
            <w:pPr>
              <w:pStyle w:val="ListParagraph"/>
              <w:numPr>
                <w:ilvl w:val="0"/>
                <w:numId w:val="2"/>
              </w:numPr>
              <w:spacing w:after="100"/>
            </w:pPr>
            <w:r>
              <w:rPr>
                <w:rFonts w:ascii="Calibri" w:cs="Calibri" w:eastAsia="Calibri" w:hAnsi="Calibri"/>
                <w:sz w:val="20"/>
                <w:szCs w:val="20"/>
              </w:rPr>
              <w:t xml:space="preserve">Several activities involve real regulatory portals (MCA21, CCI, IP India) and real company disclosures. Use only publicly available information and do not attempt any actual filing or transaction — these activities are for analysis and learning purposes only.</w:t>
            </w:r>
          </w:p>
          <w:p>
            <w:pPr>
              <w:pStyle w:val="ListParagraph"/>
              <w:numPr>
                <w:ilvl w:val="0"/>
                <w:numId w:val="2"/>
              </w:numPr>
              <w:spacing w:after="100"/>
            </w:pPr>
            <w:r>
              <w:rPr>
                <w:rFonts w:ascii="Calibri" w:cs="Calibri" w:eastAsia="Calibri" w:hAnsi="Calibri"/>
                <w:sz w:val="20"/>
                <w:szCs w:val="20"/>
              </w:rPr>
              <w:t xml:space="preserve">All deliverables must reflect YOUR legal reasoning, YOUR verification, and YOUR conclusions — not a copy of what the AI said.</w:t>
            </w:r>
          </w:p>
        </w:tc>
      </w:tr>
    </w:tbl>
    <w:p>
      <w:pPr>
        <w:pStyle w:val="Heading2"/>
        <w:pageBreakBefore/>
        <w:spacing w:after="160"/>
      </w:pPr>
      <w:r>
        <w:rPr>
          <w:rFonts w:ascii="Calibri" w:cs="Calibri" w:eastAsia="Calibri" w:hAnsi="Calibri"/>
          <w:b/>
          <w:bCs/>
          <w:color w:val="162A4A"/>
        </w:rPr>
        <w:t xml:space="preserve">Programme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Total Activities</w:t>
            </w:r>
          </w:p>
        </w:tc>
        <w:tc>
          <w:tcPr>
            <w:tcW w:type="dxa" w:w="64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16 Activities: 15 core activities + 1 integrative Capstone</w:t>
            </w:r>
          </w:p>
        </w:tc>
      </w:tr>
      <w:tr>
        <w:tc>
          <w:tcPr>
            <w:tcW w:type="dxa" w:w="26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Trimester</w:t>
            </w:r>
          </w:p>
        </w:tc>
        <w:tc>
          <w:tcPr>
            <w:tcW w:type="dxa" w:w="64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Trimester I, PGDM Batch 2026–28</w:t>
            </w:r>
          </w:p>
        </w:tc>
      </w:tr>
      <w:tr>
        <w:tc>
          <w:tcPr>
            <w:tcW w:type="dxa" w:w="260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Mode</w:t>
            </w:r>
          </w:p>
        </w:tc>
        <w:tc>
          <w:tcPr>
            <w:tcW w:type="dxa" w:w="64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Individual activities (all 15 core + Capstone)</w:t>
            </w:r>
          </w:p>
        </w:tc>
      </w:tr>
      <w:tr>
        <w:tc>
          <w:tcPr>
            <w:tcW w:type="dxa" w:w="26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Core AI Tool Stack</w:t>
            </w:r>
          </w:p>
        </w:tc>
        <w:tc>
          <w:tcPr>
            <w:tcW w:type="dxa" w:w="64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ChatGPT (GPT-4o/5), Claude (Sonnet), Perplexity AI, Gamma, Canva AI, Microsoft Excel, Microsoft Word</w:t>
            </w:r>
          </w:p>
        </w:tc>
      </w:tr>
      <w:tr>
        <w:tc>
          <w:tcPr>
            <w:tcW w:type="dxa" w:w="260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Legal Research &amp; Regulatory Sources</w:t>
            </w:r>
          </w:p>
        </w:tc>
        <w:tc>
          <w:tcPr>
            <w:tcW w:type="dxa" w:w="64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Indian Kanoon, Supreme Court of India Portal, SCC Online / Manupatra / Casemine, MCA21 (SPICe+), IP India Portal, Competition Commission of India (cci.gov.in), MeitY (meity.gov.in), BSE/NSE Corporate Filings, HBSP Case Repository</w:t>
            </w:r>
          </w:p>
        </w:tc>
      </w:tr>
      <w:tr>
        <w:tc>
          <w:tcPr>
            <w:tcW w:type="dxa" w:w="26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Assessment Weights</w:t>
            </w:r>
          </w:p>
        </w:tc>
        <w:tc>
          <w:tcPr>
            <w:tcW w:type="dxa" w:w="64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Lab Portfolio (70%): 15 core activities graded using the rubric in this document. Capstone Report (30%): 2,000–2,200 word integrative legal risk &amp; compliance report + simulated negotiation/mock arbitration + 8-slide presentation.</w:t>
            </w:r>
          </w:p>
        </w:tc>
      </w:tr>
      <w:tr>
        <w:tc>
          <w:tcPr>
            <w:tcW w:type="dxa" w:w="260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Unit 1 Activities</w:t>
            </w:r>
          </w:p>
        </w:tc>
        <w:tc>
          <w:tcPr>
            <w:tcW w:type="dxa" w:w="64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Activities 1–3: Foundations of Business Law, the Indian Legal System and Dispute Resolution</w:t>
            </w:r>
          </w:p>
        </w:tc>
      </w:tr>
      <w:tr>
        <w:tc>
          <w:tcPr>
            <w:tcW w:type="dxa" w:w="26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Unit 2 Activities</w:t>
            </w:r>
          </w:p>
        </w:tc>
        <w:tc>
          <w:tcPr>
            <w:tcW w:type="dxa" w:w="64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Activities 4–6: Contract Law, Drafting and Digital Agreements</w:t>
            </w:r>
          </w:p>
        </w:tc>
      </w:tr>
      <w:tr>
        <w:tc>
          <w:tcPr>
            <w:tcW w:type="dxa" w:w="260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Unit 3 Activities</w:t>
            </w:r>
          </w:p>
        </w:tc>
        <w:tc>
          <w:tcPr>
            <w:tcW w:type="dxa" w:w="64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Activities 7–9: Sale of Goods, Negotiable Instruments and Business Entities</w:t>
            </w:r>
          </w:p>
        </w:tc>
      </w:tr>
      <w:tr>
        <w:tc>
          <w:tcPr>
            <w:tcW w:type="dxa" w:w="26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Unit 4 Activities</w:t>
            </w:r>
          </w:p>
        </w:tc>
        <w:tc>
          <w:tcPr>
            <w:tcW w:type="dxa" w:w="64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Activities 10–12: Corporate Law, Governance and Competition Law</w:t>
            </w:r>
          </w:p>
        </w:tc>
      </w:tr>
      <w:tr>
        <w:tc>
          <w:tcPr>
            <w:tcW w:type="dxa" w:w="2600"/>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Unit 5 Activities</w:t>
            </w:r>
          </w:p>
        </w:tc>
        <w:tc>
          <w:tcPr>
            <w:tcW w:type="dxa" w:w="6426"/>
            <w:tcBorders>
              <w:top w:val="single" w:color="BFBFBF" w:sz="2"/>
              <w:left w:val="single" w:color="BFBFBF" w:sz="2"/>
              <w:bottom w:val="single" w:color="BFBFBF" w:sz="2"/>
              <w:right w:val="single" w:color="BFBFBF" w:sz="2"/>
            </w:tcBorders>
            <w:shd w:fill="DCE6F1"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Activities 13–15: Digital Law, Data Protection, Consumer Protection, IP and International Trade</w:t>
            </w:r>
          </w:p>
        </w:tc>
      </w:tr>
      <w:tr>
        <w:tc>
          <w:tcPr>
            <w:tcW w:type="dxa" w:w="26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Capstone</w:t>
            </w:r>
          </w:p>
        </w:tc>
        <w:tc>
          <w:tcPr>
            <w:tcW w:type="dxa" w:w="64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Activity 16: Integrated Legal Risk &amp; Compliance Report with Simulated Negotiation (2,000–2,200 words)</w:t>
            </w:r>
          </w:p>
        </w:tc>
      </w:tr>
    </w:tbl>
    <w:p>
      <w:pPr>
        <w:pStyle w:val="Heading1"/>
        <w:pageBreakBefore/>
        <w:spacing w:after="140"/>
      </w:pPr>
      <w:r>
        <w:rPr>
          <w:rFonts w:ascii="Calibri" w:cs="Calibri" w:eastAsia="Calibri" w:hAnsi="Calibri"/>
          <w:b/>
          <w:bCs/>
          <w:color w:val="162A4A"/>
        </w:rPr>
        <w:t xml:space="preserve">Table of Contents</w:t>
      </w:r>
    </w:p>
    <w:p>
      <w:pPr>
        <w:spacing w:after="200"/>
      </w:pPr>
      <w:r>
        <w:rPr>
          <w:rFonts w:ascii="Calibri" w:cs="Calibri" w:eastAsia="Calibri" w:hAnsi="Calibri"/>
          <w:i/>
          <w:iCs/>
          <w:color w:val="595959"/>
          <w:sz w:val="19"/>
          <w:szCs w:val="19"/>
        </w:rPr>
        <w:t xml:space="preserve">Note: After opening this document in Microsoft Word, right-click the table below and select 'Update Field' → 'Update entire table' to refresh page numbers.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20"/>
      </w:pPr>
      <w:r>
        <w:rPr>
          <w:rFonts w:ascii="Calibri" w:cs="Calibri" w:eastAsia="Calibri" w:hAnsi="Calibri"/>
          <w:b/>
          <w:bCs/>
          <w:color w:val="162A4A"/>
        </w:rPr>
        <w:t xml:space="preserve">Unit 1 — Foundations of Business Law, the Indian Legal System and Dispute Resolution</w:t>
      </w:r>
    </w:p>
    <w:p>
      <w:pPr>
        <w:spacing w:after="260"/>
      </w:pPr>
      <w:r>
        <w:rPr>
          <w:rFonts w:ascii="Calibri" w:cs="Calibri" w:eastAsia="Calibri" w:hAnsi="Calibri"/>
          <w:i/>
          <w:iCs/>
          <w:color w:val="595959"/>
          <w:sz w:val="21"/>
          <w:szCs w:val="21"/>
        </w:rPr>
        <w:t xml:space="preserve">Activities 1, 2, and 3 build the foundational legal-literacy toolkit every manager needs — briefing a landmark Supreme Court judgment on emergency arbitration, auditing the regulatory and registration pathway a real startup must navigate, and choosing and drafting the right dispute-resolution mechanism for a real commercial relationship.</w:t>
      </w:r>
    </w:p>
    <w:p>
      <w:pPr>
        <w:pStyle w:val="Heading2"/>
        <w:pageBreakBefore/>
        <w:spacing w:after="160"/>
      </w:pPr>
      <w:r>
        <w:rPr>
          <w:rFonts w:ascii="Calibri" w:cs="Calibri" w:eastAsia="Calibri" w:hAnsi="Calibri"/>
          <w:b/>
          <w:bCs/>
          <w:color w:val="162A4A"/>
        </w:rPr>
        <w:t xml:space="preserve">Activity 1: Amazon v. Future Retail Case Lab — Emergency Arbitration and the Group of Companies Doctrine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1</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Amazon v. Future Retail Case Lab — Emergency Arbitration and the Group of Companies Doctrine</w:t>
            </w:r>
          </w:p>
          <w:p>
            <w:pPr>
              <w:spacing w:after="0"/>
            </w:pPr>
            <w:r>
              <w:rPr>
                <w:rFonts w:ascii="Calibri" w:cs="Calibri" w:eastAsia="Calibri" w:hAnsi="Calibri"/>
                <w:i/>
                <w:iCs/>
                <w:color w:val="595959"/>
                <w:sz w:val="19"/>
                <w:szCs w:val="19"/>
              </w:rPr>
              <w:t xml:space="preserve">Unit 1 — Foundations of Business Law, the Indian Legal System and Dispute Resolution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[RollNo]_LAW_Act01</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This activity directly builds the Landmark Judgment Brief Live Assignment and Assessment 3 (Case Analysis) prescribed for this course — briefing the Supreme Court's 2021 Amazon v. Future Retail ruling is one of the most cited recent Indian judgments on cross-border investment structuring and emergency arbitration.</w:t>
      </w:r>
    </w:p>
    <w:p>
      <w:pPr>
        <w:pStyle w:val="ListParagraph"/>
        <w:numPr>
          <w:ilvl w:val="0"/>
          <w:numId w:val="2"/>
        </w:numPr>
        <w:spacing w:after="140"/>
      </w:pPr>
      <w:r>
        <w:rPr>
          <w:rFonts w:ascii="Calibri" w:cs="Calibri" w:eastAsia="Calibri" w:hAnsi="Calibri"/>
          <w:sz w:val="21"/>
          <w:szCs w:val="21"/>
        </w:rPr>
        <w:t xml:space="preserve">Understanding WHY an emergency arbitrator's award (seated outside India, under SIAC rules) was held enforceable against Future Retail, and how the Group of Companies doctrine let Amazon bind a non-signatory, is a specific, high-value piece of legal literacy for anyone who will negotiate shareholder agreements, joint ventures, or cross-border investment terms.</w:t>
      </w:r>
    </w:p>
    <w:p>
      <w:pPr>
        <w:pStyle w:val="ListParagraph"/>
        <w:numPr>
          <w:ilvl w:val="0"/>
          <w:numId w:val="2"/>
        </w:numPr>
        <w:spacing w:after="140"/>
      </w:pPr>
      <w:r>
        <w:rPr>
          <w:rFonts w:ascii="Calibri" w:cs="Calibri" w:eastAsia="Calibri" w:hAnsi="Calibri"/>
          <w:sz w:val="21"/>
          <w:szCs w:val="21"/>
        </w:rPr>
        <w:t xml:space="preserve">Reading and correctly briefing a real Supreme Court judgment (not a simplified summary) is a foundational research skill for general management, consulting, and compliance roles, and this activity requires you to work from the primary judgment text, not a secondary paraphrase.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3"/>
        </w:numPr>
        <w:spacing w:after="160"/>
      </w:pPr>
      <w:r>
        <w:rPr>
          <w:rFonts w:ascii="Calibri" w:cs="Calibri" w:eastAsia="Calibri" w:hAnsi="Calibri"/>
          <w:sz w:val="21"/>
          <w:szCs w:val="21"/>
        </w:rPr>
        <w:t xml:space="preserve">Locate the Amazon.com NV Investment Holdings LLC v. Future Retail Ltd. (2021) Supreme Court of India judgment using Indian Kanoon (indiankanoon.org) or the Supreme Court of India's own judgments portal (main.sci.gov.in). Search "Amazon Future Retail Supreme Court 2021 emergency arbitration" if the direct citation is not immediately findable. Read the judgment (or a substantial excerpt covering the emergency arbitration and Group of Companies doctrine sections) and record the case citation exactly as it appears.</w:t>
      </w:r>
    </w:p>
    <w:p>
      <w:pPr>
        <w:pStyle w:val="ListParagraph"/>
        <w:numPr>
          <w:ilvl w:val="0"/>
          <w:numId w:val="3"/>
        </w:numPr>
        <w:spacing w:after="160"/>
      </w:pPr>
      <w:r>
        <w:rPr>
          <w:rFonts w:ascii="Calibri" w:cs="Calibri" w:eastAsia="Calibri" w:hAnsi="Calibri"/>
          <w:sz w:val="21"/>
          <w:szCs w:val="21"/>
        </w:rPr>
        <w:t xml:space="preserve">In a Word document, write a 250-word summary of the factual background: Amazon's investment structure into Future Coupons/Future Retail, the specific contractual restriction Future Retail was alleged to have breached by proceeding with the Future Group-Reliance transaction, and the relief Amazon sought.</w:t>
      </w:r>
    </w:p>
    <w:p>
      <w:pPr>
        <w:pStyle w:val="ListParagraph"/>
        <w:numPr>
          <w:ilvl w:val="0"/>
          <w:numId w:val="3"/>
        </w:numPr>
        <w:spacing w:after="160"/>
      </w:pPr>
      <w:r>
        <w:rPr>
          <w:rFonts w:ascii="Calibri" w:cs="Calibri" w:eastAsia="Calibri" w:hAnsi="Calibri"/>
          <w:sz w:val="21"/>
          <w:szCs w:val="21"/>
        </w:rPr>
        <w:t xml:space="preserve">Explain, in your own words, what an Emergency Arbitrator is and under what institutional rules (SIAC) the emergency award in this case was obtained, and state the SPECIFIC legal question the Supreme Court had to resolve about whether an emergency arbitrator's order is enforceable as an 'order' under Section 17(2) of the Arbitration and Conciliation Act, 1996.</w:t>
      </w:r>
    </w:p>
    <w:p>
      <w:pPr>
        <w:pStyle w:val="ListParagraph"/>
        <w:numPr>
          <w:ilvl w:val="0"/>
          <w:numId w:val="3"/>
        </w:numPr>
        <w:spacing w:after="160"/>
      </w:pPr>
      <w:r>
        <w:rPr>
          <w:rFonts w:ascii="Calibri" w:cs="Calibri" w:eastAsia="Calibri" w:hAnsi="Calibri"/>
          <w:sz w:val="21"/>
          <w:szCs w:val="21"/>
        </w:rPr>
        <w:t xml:space="preserve">Explain the Group of Companies doctrine in your own words, and state SPECIFICALLY how the Supreme Court applied (or discussed applying) it to bind non-signatory group entities to the arbitration agreement, citing the relevant paragraph or reasoning from the judgment.</w:t>
      </w:r>
    </w:p>
    <w:p>
      <w:pPr>
        <w:pStyle w:val="ListParagraph"/>
        <w:numPr>
          <w:ilvl w:val="0"/>
          <w:numId w:val="3"/>
        </w:numPr>
        <w:spacing w:after="160"/>
      </w:pPr>
      <w:r>
        <w:rPr>
          <w:rFonts w:ascii="Calibri" w:cs="Calibri" w:eastAsia="Calibri" w:hAnsi="Calibri"/>
          <w:sz w:val="21"/>
          <w:szCs w:val="21"/>
        </w:rPr>
        <w:t xml:space="preserve">Open Claude (claude.ai). Send this prompt: "I have briefed the Amazon v. Future Retail (2021) Supreme Court judgment on emergency arbitration enforceability and the Group of Companies doctrine. Here is my brief: [paste your Steps 2-4]. Critique my brief for (a) any factual inaccuracy about the case, and (b) whether I have correctly distinguished the emergency-arbitrator-enforceability question from the Group of Companies doctrine question, since students commonly conflate the two." Record Claude's critique, and independently verify any factual claim Claude makes against the actual judgment text or a reliable secondary source before accepting it — AI legal research tools are known to occasionally fabricate case details, so treat this as a mandatory verification step, not an optional one.</w:t>
      </w:r>
    </w:p>
    <w:p>
      <w:pPr>
        <w:pStyle w:val="ListParagraph"/>
        <w:numPr>
          <w:ilvl w:val="0"/>
          <w:numId w:val="3"/>
        </w:numPr>
        <w:spacing w:after="160"/>
      </w:pPr>
      <w:r>
        <w:rPr>
          <w:rFonts w:ascii="Calibri" w:cs="Calibri" w:eastAsia="Calibri" w:hAnsi="Calibri"/>
          <w:sz w:val="21"/>
          <w:szCs w:val="21"/>
        </w:rPr>
        <w:t xml:space="preserve">Revise your brief based on Claude's critique (correcting any inaccuracy you independently verified, and sharpening the distinction between the two legal questions), documenting exactly what you changed and why in 100 words.</w:t>
      </w:r>
    </w:p>
    <w:p>
      <w:pPr>
        <w:pStyle w:val="ListParagraph"/>
        <w:numPr>
          <w:ilvl w:val="0"/>
          <w:numId w:val="3"/>
        </w:numPr>
        <w:spacing w:after="160"/>
      </w:pPr>
      <w:r>
        <w:rPr>
          <w:rFonts w:ascii="Calibri" w:cs="Calibri" w:eastAsia="Calibri" w:hAnsi="Calibri"/>
          <w:sz w:val="21"/>
          <w:szCs w:val="21"/>
        </w:rPr>
        <w:t xml:space="preserve">Write a 350-word Business Implications Memo stating what this judgment means in practice for (a) a foreign investor structuring a strategic investment into an Indian group company with multiple affiliated entities, and (b) an Indian company's management considering whether an emergency arbitration clause in an investment agreement is something to accept or resist in negotiation.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Indian Kanoon</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Legal Research</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Locating and reading the full Amazon v. Future Retail (2021) Supreme Court judgment</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indiankanoon.org</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Supreme Court of India Judgments Portal</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Legal Research</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Official source for the judgment text</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main.sci.gov.in</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Claude (Sonnet)</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Critique with Mandatory Verification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Critiquing the case brief for accuracy and conceptual clarity — every factual claim independently verified</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claude.ai</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Case brief, doctrine analysis, and Business Implications Memo</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Locate, read, and accurately brief a real Supreme Court judgment from primary sources.</w:t>
      </w:r>
    </w:p>
    <w:p>
      <w:pPr>
        <w:pStyle w:val="ListParagraph"/>
        <w:numPr>
          <w:ilvl w:val="0"/>
          <w:numId w:val="2"/>
        </w:numPr>
        <w:spacing w:after="140"/>
      </w:pPr>
      <w:r>
        <w:rPr>
          <w:rFonts w:ascii="Calibri" w:cs="Calibri" w:eastAsia="Calibri" w:hAnsi="Calibri"/>
          <w:sz w:val="21"/>
          <w:szCs w:val="21"/>
        </w:rPr>
        <w:t xml:space="preserve">Explain emergency arbitration enforceability and the Group of Companies doctrine correctly and distinctly, without conflating the two legal questions.</w:t>
      </w:r>
    </w:p>
    <w:p>
      <w:pPr>
        <w:pStyle w:val="ListParagraph"/>
        <w:numPr>
          <w:ilvl w:val="0"/>
          <w:numId w:val="2"/>
        </w:numPr>
        <w:spacing w:after="140"/>
      </w:pPr>
      <w:r>
        <w:rPr>
          <w:rFonts w:ascii="Calibri" w:cs="Calibri" w:eastAsia="Calibri" w:hAnsi="Calibri"/>
          <w:sz w:val="21"/>
          <w:szCs w:val="21"/>
        </w:rPr>
        <w:t xml:space="preserve">Use AI for case-brief critique while independently verifying every factual legal claim against a primary or reliable source, recognising that AI legal research carries a real fabrication risk.</w:t>
      </w:r>
    </w:p>
    <w:p>
      <w:pPr>
        <w:pStyle w:val="ListParagraph"/>
        <w:numPr>
          <w:ilvl w:val="0"/>
          <w:numId w:val="2"/>
        </w:numPr>
        <w:spacing w:after="140"/>
      </w:pPr>
      <w:r>
        <w:rPr>
          <w:rFonts w:ascii="Calibri" w:cs="Calibri" w:eastAsia="Calibri" w:hAnsi="Calibri"/>
          <w:sz w:val="21"/>
          <w:szCs w:val="21"/>
        </w:rPr>
        <w:t xml:space="preserve">Draw specific, practical business implications from a landmark judgment for investment structuring and contract negotiation.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case citation + 250-word factual summary + emergency arbitration explanation + Group of Companies doctrine explanation, both citing specific judgment reasoning.</w:t>
      </w:r>
    </w:p>
    <w:p>
      <w:pPr>
        <w:pStyle w:val="ListParagraph"/>
        <w:numPr>
          <w:ilvl w:val="0"/>
          <w:numId w:val="2"/>
        </w:numPr>
        <w:spacing w:after="140"/>
      </w:pPr>
      <w:r>
        <w:rPr>
          <w:rFonts w:ascii="Calibri" w:cs="Calibri" w:eastAsia="Calibri" w:hAnsi="Calibri"/>
          <w:sz w:val="21"/>
          <w:szCs w:val="21"/>
        </w:rPr>
        <w:t xml:space="preserve">(2) Claude's recorded critique + your independently-verified revision with a note on what was changed.</w:t>
      </w:r>
    </w:p>
    <w:p>
      <w:pPr>
        <w:pStyle w:val="ListParagraph"/>
        <w:numPr>
          <w:ilvl w:val="0"/>
          <w:numId w:val="2"/>
        </w:numPr>
        <w:spacing w:after="140"/>
      </w:pPr>
      <w:r>
        <w:rPr>
          <w:rFonts w:ascii="Calibri" w:cs="Calibri" w:eastAsia="Calibri" w:hAnsi="Calibri"/>
          <w:sz w:val="21"/>
          <w:szCs w:val="21"/>
        </w:rPr>
        <w:t xml:space="preserve">(3) 350-word Business Implications Memo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Primary-Source Case Briefing Accuracy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case citation, factual summary, and both doctrinal explanations are accurate and drawn from the actual judgment (or a reliable secondary source), with specific reasoning cited rather than a vague paraphrase; the emergency-arbitration and Group of Companies questions are clearly and correctly distinguished.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and explanations are mostly accurate with minor imprecision; the two doctrines are reasonably distinguished.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contains a factual inaccuracy, or the two doctrinal questions are partially conflated.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is substantially inaccurate, fabricated, or the doctrines are fundamentally confused.</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Critique with Independent Verification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is recorded in full and every factual claim it makes is independently checked against a primary or reliable source before being accepted, with the verification explicitly documented; the revision correctly incorporates only verified corrections.</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most claims checked with reasonable verification.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but accepted largely without independent verification.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critique recorded, or claims accepted without any verification despite the explicit instruction to verify.</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Business Implications Memo</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Memo states specific, correct, well-reasoned practical implications for both a foreign investor and Indian management, directly grounded in the judgment's actual holding.</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Memo states reasonable implications for both perspectives with adequate grounding.</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Memo's implications are generic or only loosely connected to the judgment's actual holding.</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Memo absent or below 200 words, or implications are not grounded in the case.</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bl>
    <w:p>
      <w:pPr>
        <w:pStyle w:val="Heading2"/>
        <w:pageBreakBefore/>
        <w:spacing w:after="160"/>
      </w:pPr>
      <w:r>
        <w:rPr>
          <w:rFonts w:ascii="Calibri" w:cs="Calibri" w:eastAsia="Calibri" w:hAnsi="Calibri"/>
          <w:b/>
          <w:bCs/>
          <w:color w:val="162A4A"/>
        </w:rPr>
        <w:t xml:space="preserve">Activity 2: Legal Due Diligence &amp; Regulatory Architecture Audit for a Real Startup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2</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Legal Due Diligence &amp; Regulatory Architecture Audit for a Real Startup Idea</w:t>
            </w:r>
          </w:p>
          <w:p>
            <w:pPr>
              <w:spacing w:after="0"/>
            </w:pPr>
            <w:r>
              <w:rPr>
                <w:rFonts w:ascii="Calibri" w:cs="Calibri" w:eastAsia="Calibri" w:hAnsi="Calibri"/>
                <w:i/>
                <w:iCs/>
                <w:color w:val="595959"/>
                <w:sz w:val="19"/>
                <w:szCs w:val="19"/>
              </w:rPr>
              <w:t xml:space="preserve">Unit 1 — Foundations of Business Law, the Indian Legal System and Dispute Resolution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[RollNo]_LAW_Act02</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Every founder and every manager who joins an early-stage company needs to know which court, tribunal, or regulator actually has jurisdiction over a given dispute or compliance question — confusing NCLT, NCLAT, CCI, and Consumer Commissions' respective roles is a common and costly real-world mistake.</w:t>
      </w:r>
    </w:p>
    <w:p>
      <w:pPr>
        <w:pStyle w:val="ListParagraph"/>
        <w:numPr>
          <w:ilvl w:val="0"/>
          <w:numId w:val="2"/>
        </w:numPr>
        <w:spacing w:after="140"/>
      </w:pPr>
      <w:r>
        <w:rPr>
          <w:rFonts w:ascii="Calibri" w:cs="Calibri" w:eastAsia="Calibri" w:hAnsi="Calibri"/>
          <w:sz w:val="21"/>
          <w:szCs w:val="21"/>
        </w:rPr>
        <w:t xml:space="preserve">Legal due diligence for a startup — entity selection, statutory registrations, licences, and a compliance calendar — is unglamorous but is precisely the work that determines whether a new venture survives its first regulatory audit or founder dispute; this activity requires you to build a real, usable compliance calendar, not just discuss the concept.</w:t>
      </w:r>
    </w:p>
    <w:p>
      <w:pPr>
        <w:pStyle w:val="ListParagraph"/>
        <w:numPr>
          <w:ilvl w:val="0"/>
          <w:numId w:val="2"/>
        </w:numPr>
        <w:spacing w:after="140"/>
      </w:pPr>
      <w:r>
        <w:rPr>
          <w:rFonts w:ascii="Calibri" w:cs="Calibri" w:eastAsia="Calibri" w:hAnsi="Calibri"/>
          <w:sz w:val="21"/>
          <w:szCs w:val="21"/>
        </w:rPr>
        <w:t xml:space="preserve">This activity is direct preparation for the Company Incorporation Simulation Live Assignment later in this course (Unit 3), since a sound understanding of the regulatory architecture and registration requirements is a prerequisite for correctly using the MCA21 SPICe+ process.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4"/>
        </w:numPr>
        <w:spacing w:after="160"/>
      </w:pPr>
      <w:r>
        <w:rPr>
          <w:rFonts w:ascii="Calibri" w:cs="Calibri" w:eastAsia="Calibri" w:hAnsi="Calibri"/>
          <w:sz w:val="21"/>
          <w:szCs w:val="21"/>
        </w:rPr>
        <w:t xml:space="preserve">Choose ONE realistic Indian startup idea (for example, a D2C food brand, a B2B SaaS product, or a hyperlocal delivery service). State the business idea, its primary business activity, and its likely first-year scale (number of employees, approximate revenue) in 100 words.</w:t>
      </w:r>
    </w:p>
    <w:p>
      <w:pPr>
        <w:pStyle w:val="ListParagraph"/>
        <w:numPr>
          <w:ilvl w:val="0"/>
          <w:numId w:val="4"/>
        </w:numPr>
        <w:spacing w:after="160"/>
      </w:pPr>
      <w:r>
        <w:rPr>
          <w:rFonts w:ascii="Calibri" w:cs="Calibri" w:eastAsia="Calibri" w:hAnsi="Calibri"/>
          <w:sz w:val="21"/>
          <w:szCs w:val="21"/>
        </w:rPr>
        <w:t xml:space="preserve">Build a Judicial &amp; Regulatory Architecture table listing, for your chosen startup: which body would handle a company-law dispute (NCLT/NCLAT), which body would handle a competition-law concern (CCI), which body would handle a consumer complaint (District/State/National Consumer Commission, noting the pecuniary jurisdiction thresholds), and which body would handle a general commercial contract dispute (civil courts or arbitration, per your Activity 3 analysis) — for each, state ONE specific, plausible scenario for YOUR startup that would trigger that body's jurisdiction.</w:t>
      </w:r>
    </w:p>
    <w:p>
      <w:pPr>
        <w:pStyle w:val="ListParagraph"/>
        <w:numPr>
          <w:ilvl w:val="0"/>
          <w:numId w:val="4"/>
        </w:numPr>
        <w:spacing w:after="160"/>
      </w:pPr>
      <w:r>
        <w:rPr>
          <w:rFonts w:ascii="Calibri" w:cs="Calibri" w:eastAsia="Calibri" w:hAnsi="Calibri"/>
          <w:sz w:val="21"/>
          <w:szCs w:val="21"/>
        </w:rPr>
        <w:t xml:space="preserve">Research and list the SPECIFIC statutory registrations and licences your startup would need in its first year (for example: GST registration, Shops and Establishments Act registration, FSSAI licence if food-related, Professional Tax registration, EPFO/ESIC registration once employee thresholds are crossed, or a specific sectoral licence). Use Perplexity AI (perplexity.ai) to search "statutory registrations required for [your business type] in India" to verify you have not missed a major one, and cite what you find.</w:t>
      </w:r>
    </w:p>
    <w:p>
      <w:pPr>
        <w:pStyle w:val="ListParagraph"/>
        <w:numPr>
          <w:ilvl w:val="0"/>
          <w:numId w:val="4"/>
        </w:numPr>
        <w:spacing w:after="160"/>
      </w:pPr>
      <w:r>
        <w:rPr>
          <w:rFonts w:ascii="Calibri" w:cs="Calibri" w:eastAsia="Calibri" w:hAnsi="Calibri"/>
          <w:sz w:val="21"/>
          <w:szCs w:val="21"/>
        </w:rPr>
        <w:t xml:space="preserve">Build a 12-month Compliance Calendar in Excel: list each registration/filing obligation identified in Step 3 with its typical timeline relative to business commencement (for example, GST registration before crossing the threshold or at commencement if voluntarily registering, first GST return filing dates, annual ROC filings if incorporated as a company) and mark which are one-time versus recurring obligations.</w:t>
      </w:r>
    </w:p>
    <w:p>
      <w:pPr>
        <w:pStyle w:val="ListParagraph"/>
        <w:numPr>
          <w:ilvl w:val="0"/>
          <w:numId w:val="4"/>
        </w:numPr>
        <w:spacing w:after="160"/>
      </w:pPr>
      <w:r>
        <w:rPr>
          <w:rFonts w:ascii="Calibri" w:cs="Calibri" w:eastAsia="Calibri" w:hAnsi="Calibri"/>
          <w:sz w:val="21"/>
          <w:szCs w:val="21"/>
        </w:rPr>
        <w:t xml:space="preserve">State your recommended business-entity choice for this specific startup (you will formally compare entity types in Activity 9; for now, give a preliminary recommendation) and briefly justify it based on the liability protection, compliance burden, and fundraising considerations relevant to your specific business.</w:t>
      </w:r>
    </w:p>
    <w:p>
      <w:pPr>
        <w:pStyle w:val="ListParagraph"/>
        <w:numPr>
          <w:ilvl w:val="0"/>
          <w:numId w:val="4"/>
        </w:numPr>
        <w:spacing w:after="160"/>
      </w:pPr>
      <w:r>
        <w:rPr>
          <w:rFonts w:ascii="Calibri" w:cs="Calibri" w:eastAsia="Calibri" w:hAnsi="Calibri"/>
          <w:sz w:val="21"/>
          <w:szCs w:val="21"/>
        </w:rPr>
        <w:t xml:space="preserve">Open ChatGPT (chat.openai.com). Send this prompt: "Here is my regulatory architecture and compliance calendar for a [describe startup]: [paste your Steps 2-4]. Identify ONE compliance obligation or regulatory risk that early-stage Indian founders commonly overlook for a business of this type, and explain why missing it typically causes problems later (for example, at the time of a funding round or an audit)." Record ChatGPT's response and state whether you had already included it in your Step 4 calendar, adding it if you had missed it.</w:t>
      </w:r>
    </w:p>
    <w:p>
      <w:pPr>
        <w:pStyle w:val="ListParagraph"/>
        <w:numPr>
          <w:ilvl w:val="0"/>
          <w:numId w:val="4"/>
        </w:numPr>
        <w:spacing w:after="160"/>
      </w:pPr>
      <w:r>
        <w:rPr>
          <w:rFonts w:ascii="Calibri" w:cs="Calibri" w:eastAsia="Calibri" w:hAnsi="Calibri"/>
          <w:sz w:val="21"/>
          <w:szCs w:val="21"/>
        </w:rPr>
        <w:t xml:space="preserve">Write a 350-word Legal Due Diligence Brief combining your regulatory architecture table, your compliance calendar highlights, your preliminary entity recommendation, and ChatGPT's identified commonly-overlooked risk, ending with the SINGLE compliance action you would prioritise completing first if you were actually launching this business next month.</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Perplexity AI</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Research</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Verifying required statutory registrations and licences for the chosen business type</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perplexity.ai</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Excel</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Compliance Calendar</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12-month statutory registration and filing compliance calendar</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ChatGPT (GPT-4o / GPT-5)</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Risk Identification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Identifying a commonly overlooked compliance obligation for early-stage founders</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chat.openai.com</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Regulatory architecture table, entity recommendation, and Legal Due Diligence Brief</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Correctly map which court, tribunal, or regulator (NCLT/NCLAT, CCI, Consumer Commissions, civil courts) has jurisdiction over specific business disputes.</w:t>
      </w:r>
    </w:p>
    <w:p>
      <w:pPr>
        <w:pStyle w:val="ListParagraph"/>
        <w:numPr>
          <w:ilvl w:val="0"/>
          <w:numId w:val="2"/>
        </w:numPr>
        <w:spacing w:after="140"/>
      </w:pPr>
      <w:r>
        <w:rPr>
          <w:rFonts w:ascii="Calibri" w:cs="Calibri" w:eastAsia="Calibri" w:hAnsi="Calibri"/>
          <w:sz w:val="21"/>
          <w:szCs w:val="21"/>
        </w:rPr>
        <w:t xml:space="preserve">Research and correctly identify the statutory registrations and licences a real startup type requires.</w:t>
      </w:r>
    </w:p>
    <w:p>
      <w:pPr>
        <w:pStyle w:val="ListParagraph"/>
        <w:numPr>
          <w:ilvl w:val="0"/>
          <w:numId w:val="2"/>
        </w:numPr>
        <w:spacing w:after="140"/>
      </w:pPr>
      <w:r>
        <w:rPr>
          <w:rFonts w:ascii="Calibri" w:cs="Calibri" w:eastAsia="Calibri" w:hAnsi="Calibri"/>
          <w:sz w:val="21"/>
          <w:szCs w:val="21"/>
        </w:rPr>
        <w:t xml:space="preserve">Build a usable, time-sequenced compliance calendar distinguishing one-time from recurring obligations.</w:t>
      </w:r>
    </w:p>
    <w:p>
      <w:pPr>
        <w:pStyle w:val="ListParagraph"/>
        <w:numPr>
          <w:ilvl w:val="0"/>
          <w:numId w:val="2"/>
        </w:numPr>
        <w:spacing w:after="140"/>
      </w:pPr>
      <w:r>
        <w:rPr>
          <w:rFonts w:ascii="Calibri" w:cs="Calibri" w:eastAsia="Calibri" w:hAnsi="Calibri"/>
          <w:sz w:val="21"/>
          <w:szCs w:val="21"/>
        </w:rPr>
        <w:t xml:space="preserve">Use AI to identify commonly overlooked compliance risks and integrate genuine gaps into a due diligence brief.</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startup description + judicial/regulatory architecture table with specific scenarios + registration/licence research with sources + preliminary entity recommendation.</w:t>
      </w:r>
    </w:p>
    <w:p>
      <w:pPr>
        <w:pStyle w:val="ListParagraph"/>
        <w:numPr>
          <w:ilvl w:val="0"/>
          <w:numId w:val="2"/>
        </w:numPr>
        <w:spacing w:after="140"/>
      </w:pPr>
      <w:r>
        <w:rPr>
          <w:rFonts w:ascii="Calibri" w:cs="Calibri" w:eastAsia="Calibri" w:hAnsi="Calibri"/>
          <w:sz w:val="21"/>
          <w:szCs w:val="21"/>
        </w:rPr>
        <w:t xml:space="preserve">(2) Excel 12-month Compliance Calendar.</w:t>
      </w:r>
    </w:p>
    <w:p>
      <w:pPr>
        <w:pStyle w:val="ListParagraph"/>
        <w:numPr>
          <w:ilvl w:val="0"/>
          <w:numId w:val="2"/>
        </w:numPr>
        <w:spacing w:after="140"/>
      </w:pPr>
      <w:r>
        <w:rPr>
          <w:rFonts w:ascii="Calibri" w:cs="Calibri" w:eastAsia="Calibri" w:hAnsi="Calibri"/>
          <w:sz w:val="21"/>
          <w:szCs w:val="21"/>
        </w:rPr>
        <w:t xml:space="preserve">(3) ChatGPT's recorded response + your gap-check.</w:t>
      </w:r>
    </w:p>
    <w:p>
      <w:pPr>
        <w:pStyle w:val="ListParagraph"/>
        <w:numPr>
          <w:ilvl w:val="0"/>
          <w:numId w:val="2"/>
        </w:numPr>
        <w:spacing w:after="140"/>
      </w:pPr>
      <w:r>
        <w:rPr>
          <w:rFonts w:ascii="Calibri" w:cs="Calibri" w:eastAsia="Calibri" w:hAnsi="Calibri"/>
          <w:sz w:val="21"/>
          <w:szCs w:val="21"/>
        </w:rPr>
        <w:t xml:space="preserve">(4) 350-word Legal Due Diligence Brief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Judicial &amp; Regulatory Architecture Mapping</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All four bodies (NCLT/NCLAT, CCI, Consumer Commissions with correct pecuniary jurisdiction awareness, and civil courts/arbitration) are correctly mapped with a specific, plausible scenario for the chosen startup for each.</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Most bodies correctly mapped with reasonably specific scenarios.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One or two bodies are incorrectly mapped or scenarios are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Regulatory architecture largely incorrect or not scenario-specific.</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Registration Research &amp; Compliance Calendar</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Registrations/licences are specific, correctly identified for the business type, and verified via research with a cited source; the compliance calendar is genuinely time-sequenced and correctly distinguishes one-time from recurring obligations.</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Registrations mostly correct and sourced; calendar reasonably sequenced.</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Registrations are generic or a major one is missed without the AI gap-check catching it; calendar lacks clear timing.</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Registration research not conducted or largely incorrect; calendar not built.</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Gap Check &amp; Due Diligence Brief</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ChatGPT's response is recorded in full and genuinely checked against the student's own calendar, with a real gap identified and added if applicable; the Brief is coherent and ends with one specific, well-justified priority action.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ChatGPT's response recorded and checked; Brief covers most required elements.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ChatGPT's response recorded without a genuine gap-check; Brief's priority action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response recorded, or Brief absent/below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bl>
    <w:p>
      <w:pPr>
        <w:pStyle w:val="Heading2"/>
        <w:pageBreakBefore/>
        <w:spacing w:after="160"/>
      </w:pPr>
      <w:r>
        <w:rPr>
          <w:rFonts w:ascii="Calibri" w:cs="Calibri" w:eastAsia="Calibri" w:hAnsi="Calibri"/>
          <w:b/>
          <w:bCs/>
          <w:color w:val="162A4A"/>
        </w:rPr>
        <w:t xml:space="preserve">Activity 3: ADR Method Selection &amp; Dispute Resolution Clause Drafting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3</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ADR Method Selection &amp; Dispute Resolution Clause Drafting</w:t>
            </w:r>
          </w:p>
          <w:p>
            <w:pPr>
              <w:spacing w:after="0"/>
            </w:pPr>
            <w:r>
              <w:rPr>
                <w:rFonts w:ascii="Calibri" w:cs="Calibri" w:eastAsia="Calibri" w:hAnsi="Calibri"/>
                <w:i/>
                <w:iCs/>
                <w:color w:val="595959"/>
                <w:sz w:val="19"/>
                <w:szCs w:val="19"/>
              </w:rPr>
              <w:t xml:space="preserve">Unit 1 — Foundations of Business Law, the Indian Legal System and Dispute Resolution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[RollNo]_LAW_Act03</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Choosing between negotiation, conciliation, mediation, and arbitration for a real commercial relationship is a genuinely consequential drafting decision — the wrong ADR clause can trap a company in an expensive, slow, or unenforceable dispute-resolution path for the life of a contract.</w:t>
      </w:r>
    </w:p>
    <w:p>
      <w:pPr>
        <w:pStyle w:val="ListParagraph"/>
        <w:numPr>
          <w:ilvl w:val="0"/>
          <w:numId w:val="2"/>
        </w:numPr>
        <w:spacing w:after="140"/>
      </w:pPr>
      <w:r>
        <w:rPr>
          <w:rFonts w:ascii="Calibri" w:cs="Calibri" w:eastAsia="Calibri" w:hAnsi="Calibri"/>
          <w:sz w:val="21"/>
          <w:szCs w:val="21"/>
        </w:rPr>
        <w:t xml:space="preserve">The Mediation Act, 2023 and the Arbitration and Conciliation Act, 1996 (as amended) are both current, real, and frequently tested in exactly this comparative way — understanding institutional versus ad-hoc arbitration, and when mediation is genuinely preferable to arbitration, is a specific, practical drafting skill.</w:t>
      </w:r>
    </w:p>
    <w:p>
      <w:pPr>
        <w:pStyle w:val="ListParagraph"/>
        <w:numPr>
          <w:ilvl w:val="0"/>
          <w:numId w:val="2"/>
        </w:numPr>
        <w:spacing w:after="140"/>
      </w:pPr>
      <w:r>
        <w:rPr>
          <w:rFonts w:ascii="Calibri" w:cs="Calibri" w:eastAsia="Calibri" w:hAnsi="Calibri"/>
          <w:sz w:val="21"/>
          <w:szCs w:val="21"/>
        </w:rPr>
        <w:t xml:space="preserve">Online Dispute Resolution (ODR) platforms and AI-assisted legal research tools (SCC Online, Manupatra, Casemine) are now standard professional infrastructure — this activity requires you to actually look at what one of these tools offers, not just read about their existence.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5"/>
        </w:numPr>
        <w:spacing w:after="160"/>
      </w:pPr>
      <w:r>
        <w:rPr>
          <w:rFonts w:ascii="Calibri" w:cs="Calibri" w:eastAsia="Calibri" w:hAnsi="Calibri"/>
          <w:sz w:val="21"/>
          <w:szCs w:val="21"/>
        </w:rPr>
        <w:t xml:space="preserve">Choose ONE realistic commercial relationship requiring a dispute-resolution clause (for example, a supply agreement between an Indian manufacturer and a foreign buyer, or a services agreement between a startup and a freelance developer). State the parties and the nature of the relationship in 100 words.</w:t>
      </w:r>
    </w:p>
    <w:p>
      <w:pPr>
        <w:pStyle w:val="ListParagraph"/>
        <w:numPr>
          <w:ilvl w:val="0"/>
          <w:numId w:val="5"/>
        </w:numPr>
        <w:spacing w:after="160"/>
      </w:pPr>
      <w:r>
        <w:rPr>
          <w:rFonts w:ascii="Calibri" w:cs="Calibri" w:eastAsia="Calibri" w:hAnsi="Calibri"/>
          <w:sz w:val="21"/>
          <w:szCs w:val="21"/>
        </w:rPr>
        <w:t xml:space="preserve">Build a comparison table of the four ADR methods (Negotiation, Conciliation, Mediation, Arbitration) with rows for: typical cost, typical timeline, enforceability of outcome, confidentiality, and suitability for an ongoing (versus one-time) business relationship. For each method, state your assessment (High/Medium/Low or a short phrase) with one sentence of reasoning specific to your chosen commercial relationship.</w:t>
      </w:r>
    </w:p>
    <w:p>
      <w:pPr>
        <w:pStyle w:val="ListParagraph"/>
        <w:numPr>
          <w:ilvl w:val="0"/>
          <w:numId w:val="5"/>
        </w:numPr>
        <w:spacing w:after="160"/>
      </w:pPr>
      <w:r>
        <w:rPr>
          <w:rFonts w:ascii="Calibri" w:cs="Calibri" w:eastAsia="Calibri" w:hAnsi="Calibri"/>
          <w:sz w:val="21"/>
          <w:szCs w:val="21"/>
        </w:rPr>
        <w:t xml:space="preserve">Recommend ONE ADR method (or a tiered/escalation clause combining more than one, such as 'negotiation, failing which mediation, failing which arbitration') for your specific scenario, with a one-paragraph justification referencing your comparison table.</w:t>
      </w:r>
    </w:p>
    <w:p>
      <w:pPr>
        <w:pStyle w:val="ListParagraph"/>
        <w:numPr>
          <w:ilvl w:val="0"/>
          <w:numId w:val="5"/>
        </w:numPr>
        <w:spacing w:after="160"/>
      </w:pPr>
      <w:r>
        <w:rPr>
          <w:rFonts w:ascii="Calibri" w:cs="Calibri" w:eastAsia="Calibri" w:hAnsi="Calibri"/>
          <w:sz w:val="21"/>
          <w:szCs w:val="21"/>
        </w:rPr>
        <w:t xml:space="preserve">If you recommend arbitration (wholly or as a fallback), state whether you recommend Institutional or Ad-hoc arbitration, naming a specific real arbitral institution if institutional (for example, the Mumbai Centre for International Arbitration, ICC, or SIAC) and briefly stating why institutional rules would (or would not) add value for this specific relationship.</w:t>
      </w:r>
    </w:p>
    <w:p>
      <w:pPr>
        <w:pStyle w:val="ListParagraph"/>
        <w:numPr>
          <w:ilvl w:val="0"/>
          <w:numId w:val="5"/>
        </w:numPr>
        <w:spacing w:after="160"/>
      </w:pPr>
      <w:r>
        <w:rPr>
          <w:rFonts w:ascii="Calibri" w:cs="Calibri" w:eastAsia="Calibri" w:hAnsi="Calibri"/>
          <w:sz w:val="21"/>
          <w:szCs w:val="21"/>
        </w:rPr>
        <w:t xml:space="preserve">Draft the actual Dispute Resolution clause (150-200 words of contract-ready legal drafting) for your chosen commercial agreement, including the ADR method(s), seat/venue, governing law, language, and (if arbitration) the number of arbitrators and appointment mechanism.</w:t>
      </w:r>
    </w:p>
    <w:p>
      <w:pPr>
        <w:pStyle w:val="ListParagraph"/>
        <w:numPr>
          <w:ilvl w:val="0"/>
          <w:numId w:val="5"/>
        </w:numPr>
        <w:spacing w:after="160"/>
      </w:pPr>
      <w:r>
        <w:rPr>
          <w:rFonts w:ascii="Calibri" w:cs="Calibri" w:eastAsia="Calibri" w:hAnsi="Calibri"/>
          <w:sz w:val="21"/>
          <w:szCs w:val="21"/>
        </w:rPr>
        <w:t xml:space="preserve">Visit ONE AI-assisted legal research or ODR platform (SCC Online, Manupatra, Casemine, or a publicly accessible ODR platform) and, in 100 words, describe one specific feature you found that would be genuinely useful for researching or resolving the type of dispute your clause anticipates.</w:t>
      </w:r>
    </w:p>
    <w:p>
      <w:pPr>
        <w:pStyle w:val="ListParagraph"/>
        <w:numPr>
          <w:ilvl w:val="0"/>
          <w:numId w:val="5"/>
        </w:numPr>
        <w:spacing w:after="160"/>
      </w:pPr>
      <w:r>
        <w:rPr>
          <w:rFonts w:ascii="Calibri" w:cs="Calibri" w:eastAsia="Calibri" w:hAnsi="Calibri"/>
          <w:sz w:val="21"/>
          <w:szCs w:val="21"/>
        </w:rPr>
        <w:t xml:space="preserve">Open Claude (claude.ai). Send this prompt: "Here is my dispute resolution clause: [paste your Step 5 draft]. Critique it specifically for (a) any ambiguity that could itself become a source of dispute (for example, an unclear seat, an unspecified number of arbitrators, or vague escalation triggers), and (b) whether the ADR method I chose is genuinely well-matched to the relationship I described." Record Claude's critique and revise your clause, stating specifically what you changed and why in 100 words.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SCC Online / Manupatra / Casemine</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AI-Assisted Legal Research / ODR</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Exploring a real legal-research or ODR platform feature relevant to the dispute type</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scconline.com / manupatra.com / casemine.com</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Claude (Sonnet)</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Clause Critique</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Identifying ambiguity and method-fit issues in the drafted dispute resolution clause</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claude.ai</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ADR comparison table, method recommendation, drafted clause, and platform review</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Compare negotiation, conciliation, mediation, and arbitration across cost, timeline, enforceability, confidentiality, and relationship-suitability for a specific real commercial scenario.</w:t>
      </w:r>
    </w:p>
    <w:p>
      <w:pPr>
        <w:pStyle w:val="ListParagraph"/>
        <w:numPr>
          <w:ilvl w:val="0"/>
          <w:numId w:val="2"/>
        </w:numPr>
        <w:spacing w:after="140"/>
      </w:pPr>
      <w:r>
        <w:rPr>
          <w:rFonts w:ascii="Calibri" w:cs="Calibri" w:eastAsia="Calibri" w:hAnsi="Calibri"/>
          <w:sz w:val="21"/>
          <w:szCs w:val="21"/>
        </w:rPr>
        <w:t xml:space="preserve">Recommend and justify a specific ADR method or escalation structure, including institutional versus ad-hoc arbitration where relevant.</w:t>
      </w:r>
    </w:p>
    <w:p>
      <w:pPr>
        <w:pStyle w:val="ListParagraph"/>
        <w:numPr>
          <w:ilvl w:val="0"/>
          <w:numId w:val="2"/>
        </w:numPr>
        <w:spacing w:after="140"/>
      </w:pPr>
      <w:r>
        <w:rPr>
          <w:rFonts w:ascii="Calibri" w:cs="Calibri" w:eastAsia="Calibri" w:hAnsi="Calibri"/>
          <w:sz w:val="21"/>
          <w:szCs w:val="21"/>
        </w:rPr>
        <w:t xml:space="preserve">Draft a contract-ready dispute resolution clause with all essential elements (method, seat, governing law, arbitrator mechanism).</w:t>
      </w:r>
    </w:p>
    <w:p>
      <w:pPr>
        <w:pStyle w:val="ListParagraph"/>
        <w:numPr>
          <w:ilvl w:val="0"/>
          <w:numId w:val="2"/>
        </w:numPr>
        <w:spacing w:after="140"/>
      </w:pPr>
      <w:r>
        <w:rPr>
          <w:rFonts w:ascii="Calibri" w:cs="Calibri" w:eastAsia="Calibri" w:hAnsi="Calibri"/>
          <w:sz w:val="21"/>
          <w:szCs w:val="21"/>
        </w:rPr>
        <w:t xml:space="preserve">Use AI to critique a drafted legal clause for ambiguity and method-fit, and revise it with clear, specific reasoning.</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scenario description + ADR comparison table + method recommendation with justification + institutional/ad-hoc arbitration reasoning (if applicable).</w:t>
      </w:r>
    </w:p>
    <w:p>
      <w:pPr>
        <w:pStyle w:val="ListParagraph"/>
        <w:numPr>
          <w:ilvl w:val="0"/>
          <w:numId w:val="2"/>
        </w:numPr>
        <w:spacing w:after="140"/>
      </w:pPr>
      <w:r>
        <w:rPr>
          <w:rFonts w:ascii="Calibri" w:cs="Calibri" w:eastAsia="Calibri" w:hAnsi="Calibri"/>
          <w:sz w:val="21"/>
          <w:szCs w:val="21"/>
        </w:rPr>
        <w:t xml:space="preserve">(2) Drafted Dispute Resolution clause (150-200 words) — original and AI-critiqued revised versions.</w:t>
      </w:r>
    </w:p>
    <w:p>
      <w:pPr>
        <w:pStyle w:val="ListParagraph"/>
        <w:numPr>
          <w:ilvl w:val="0"/>
          <w:numId w:val="2"/>
        </w:numPr>
        <w:spacing w:after="140"/>
      </w:pPr>
      <w:r>
        <w:rPr>
          <w:rFonts w:ascii="Calibri" w:cs="Calibri" w:eastAsia="Calibri" w:hAnsi="Calibri"/>
          <w:sz w:val="21"/>
          <w:szCs w:val="21"/>
        </w:rPr>
        <w:t xml:space="preserve">(3) 100-word AI/ODR platform feature review.</w:t>
      </w:r>
    </w:p>
    <w:p>
      <w:pPr>
        <w:pStyle w:val="ListParagraph"/>
        <w:numPr>
          <w:ilvl w:val="0"/>
          <w:numId w:val="2"/>
        </w:numPr>
        <w:spacing w:after="140"/>
      </w:pPr>
      <w:r>
        <w:rPr>
          <w:rFonts w:ascii="Calibri" w:cs="Calibri" w:eastAsia="Calibri" w:hAnsi="Calibri"/>
          <w:sz w:val="21"/>
          <w:szCs w:val="21"/>
        </w:rPr>
        <w:t xml:space="preserve">(4) Claude's recorded critique + your revision notes.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ADR Comparison &amp; Method Recommendation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All four ADR methods are compared across all five dimensions with specific, scenario-grounded reasoning; the recommended method (or escalation structure) is well-justified and, where arbitration is chosen, the institutional-vs-ad-hoc reasoning is specific and sound.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Comparison mostly complete and specific; recommendation reasonably justified.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Comparison has generic entries in some cells; recommendation lacks clear scenario-specific justification.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Comparison incomplete or recommendation not justified.</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Dispute Resolution Clause Drafting</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drafted clause includes all essential elements (method, seat/venue, governing law, language, arbitrator number/appointment where relevant) in professional, contract-ready legal drafting language, meeting the target length.</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Clause includes most essential elements with reasonably professional drafting.</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Clause is missing one or more essential elements, or drafting is informal/vague.</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Clause not drafted or fundamentally incomplete.</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Platform Review &amp; AI-Assisted Revision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platform review identifies a genuine, specific feature relevant to the dispute type; Claude's critique is recorded in full and the revision specifically and correctly addresses the ambiguity or method-fit issue raised.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Platform review reasonably specific; revision addresses Claude's critique adequately.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Platform review is generic; revision does not clearly address the specific critique raised.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platform review conducted, or no AI critique recorded/addressed.</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bl>
    <w:p>
      <w:pPr>
        <w:pStyle w:val="Heading1"/>
        <w:pageBreakBefore/>
        <w:spacing w:after="120"/>
      </w:pPr>
      <w:r>
        <w:rPr>
          <w:rFonts w:ascii="Calibri" w:cs="Calibri" w:eastAsia="Calibri" w:hAnsi="Calibri"/>
          <w:b/>
          <w:bCs/>
          <w:color w:val="162A4A"/>
        </w:rPr>
        <w:t xml:space="preserve">Unit 2 — Contract Law, Drafting and Digital Agreements</w:t>
      </w:r>
    </w:p>
    <w:p>
      <w:pPr>
        <w:spacing w:after="260"/>
      </w:pPr>
      <w:r>
        <w:rPr>
          <w:rFonts w:ascii="Calibri" w:cs="Calibri" w:eastAsia="Calibri" w:hAnsi="Calibri"/>
          <w:i/>
          <w:iCs/>
          <w:color w:val="595959"/>
          <w:sz w:val="21"/>
          <w:szCs w:val="21"/>
        </w:rPr>
        <w:t xml:space="preserve">Activities 4, 5, and 6 build practical contract literacy — diagnosing the validity of real-world contract scenarios, drafting and AI-redlining an actual NDA and SaaS agreement, and analysing e-contract validity and breach remedies for a real digital transaction.</w:t>
      </w:r>
    </w:p>
    <w:p>
      <w:pPr>
        <w:pStyle w:val="Heading2"/>
        <w:pageBreakBefore/>
        <w:spacing w:after="160"/>
      </w:pPr>
      <w:r>
        <w:rPr>
          <w:rFonts w:ascii="Calibri" w:cs="Calibri" w:eastAsia="Calibri" w:hAnsi="Calibri"/>
          <w:b/>
          <w:bCs/>
          <w:color w:val="162A4A"/>
        </w:rPr>
        <w:t xml:space="preserve">Activity 4: Contract Validity Audit — Essential Elements &amp; Void/Voidable Diagnosis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4</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Contract Validity Audit — Essential Elements &amp; Void/Voidable Diagnosis</w:t>
            </w:r>
          </w:p>
          <w:p>
            <w:pPr>
              <w:spacing w:after="0"/>
            </w:pPr>
            <w:r>
              <w:rPr>
                <w:rFonts w:ascii="Calibri" w:cs="Calibri" w:eastAsia="Calibri" w:hAnsi="Calibri"/>
                <w:i/>
                <w:iCs/>
                <w:color w:val="595959"/>
                <w:sz w:val="19"/>
                <w:szCs w:val="19"/>
              </w:rPr>
              <w:t xml:space="preserve">Unit 2 — Contract Law, Drafting and Digital Agreements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[RollNo]_LAW_Act04</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Correctly diagnosing whether a real-world arrangement is actually a legally valid, binding contract — versus void, voidable, unenforceable, or merely a quasi-contract — is the single most foundational skill in this unit, and is only genuinely tested when applied to specific, realistic fact patterns rather than recited as definitions.</w:t>
      </w:r>
    </w:p>
    <w:p>
      <w:pPr>
        <w:pStyle w:val="ListParagraph"/>
        <w:numPr>
          <w:ilvl w:val="0"/>
          <w:numId w:val="2"/>
        </w:numPr>
        <w:spacing w:after="140"/>
      </w:pPr>
      <w:r>
        <w:rPr>
          <w:rFonts w:ascii="Calibri" w:cs="Calibri" w:eastAsia="Calibri" w:hAnsi="Calibri"/>
          <w:sz w:val="21"/>
          <w:szCs w:val="21"/>
        </w:rPr>
        <w:t xml:space="preserve">Confusing 'void' (never a contract) with 'voidable' (a valid contract that one party can choose to rescind) is a common and consequential real-world error — a manager who cannot tell these apart cannot correctly assess whether their company actually has a binding claim.</w:t>
      </w:r>
    </w:p>
    <w:p>
      <w:pPr>
        <w:pStyle w:val="ListParagraph"/>
        <w:numPr>
          <w:ilvl w:val="0"/>
          <w:numId w:val="2"/>
        </w:numPr>
        <w:spacing w:after="140"/>
      </w:pPr>
      <w:r>
        <w:rPr>
          <w:rFonts w:ascii="Calibri" w:cs="Calibri" w:eastAsia="Calibri" w:hAnsi="Calibri"/>
          <w:sz w:val="21"/>
          <w:szCs w:val="21"/>
        </w:rPr>
        <w:t xml:space="preserve">This activity builds the exact diagnostic discipline (offer, acceptance, consideration, capacity, free consent — checked systematically) that underlies the drafting work in Activity 5 and the breach-remedy analysis in Activity 6.</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6"/>
        </w:numPr>
        <w:spacing w:after="160"/>
      </w:pPr>
      <w:r>
        <w:rPr>
          <w:rFonts w:ascii="Calibri" w:cs="Calibri" w:eastAsia="Calibri" w:hAnsi="Calibri"/>
          <w:sz w:val="21"/>
          <w:szCs w:val="21"/>
        </w:rPr>
        <w:t xml:space="preserve">In a Word document, define in your own words (not copied from a textbook) the five essential elements of a valid contract: offer and acceptance, consideration, capacity, free consent, and lawful object.</w:t>
      </w:r>
    </w:p>
    <w:p>
      <w:pPr>
        <w:pStyle w:val="ListParagraph"/>
        <w:numPr>
          <w:ilvl w:val="0"/>
          <w:numId w:val="6"/>
        </w:numPr>
        <w:spacing w:after="160"/>
      </w:pPr>
      <w:r>
        <w:rPr>
          <w:rFonts w:ascii="Calibri" w:cs="Calibri" w:eastAsia="Calibri" w:hAnsi="Calibri"/>
          <w:sz w:val="21"/>
          <w:szCs w:val="21"/>
        </w:rPr>
        <w:t xml:space="preserve">Write or source FOUR short (3-4 sentence) realistic business scenarios, each designed so that exactly ONE essential element is missing or defective (for example, a scenario where consent was obtained under undue influence; a scenario where a minor signs a service agreement; a scenario with no consideration; a scenario where the object is unlawful). You may use ChatGPT (chat.openai.com) to help generate realistic scenarios — send the prompt: "Generate 4 short, realistic Indian business scenarios, each illustrating exactly one defect in contract formation: one with defective consent (coercion/undue influence/fraud/misrepresentation), one with incapacity (minor or unsound mind), one with no consideration, and one with an unlawful object. Do not label which is which."</w:t>
      </w:r>
    </w:p>
    <w:p>
      <w:pPr>
        <w:pStyle w:val="ListParagraph"/>
        <w:numPr>
          <w:ilvl w:val="0"/>
          <w:numId w:val="6"/>
        </w:numPr>
        <w:spacing w:after="160"/>
      </w:pPr>
      <w:r>
        <w:rPr>
          <w:rFonts w:ascii="Calibri" w:cs="Calibri" w:eastAsia="Calibri" w:hAnsi="Calibri"/>
          <w:sz w:val="21"/>
          <w:szCs w:val="21"/>
        </w:rPr>
        <w:t xml:space="preserve">Working independently (before checking ChatGPT's intended answer key, if you used it), diagnose each scenario: state which specific element is defective, whether the resulting contract is VOID, VOIDABLE, or UNENFORCEABLE (with reasoning for the distinction), and cite the specific textual detail in the scenario that reveals the defect.</w:t>
      </w:r>
    </w:p>
    <w:p>
      <w:pPr>
        <w:pStyle w:val="ListParagraph"/>
        <w:numPr>
          <w:ilvl w:val="0"/>
          <w:numId w:val="6"/>
        </w:numPr>
        <w:spacing w:after="160"/>
      </w:pPr>
      <w:r>
        <w:rPr>
          <w:rFonts w:ascii="Calibri" w:cs="Calibri" w:eastAsia="Calibri" w:hAnsi="Calibri"/>
          <w:sz w:val="21"/>
          <w:szCs w:val="21"/>
        </w:rPr>
        <w:t xml:space="preserve">Compare your independent diagnosis against ChatGPT's intended answer key (if used) or your own answer key (if self-authored), and for scenarios that are genuinely ambiguous or debatable, note that explicitly rather than forcing a single 'correct' answer.</w:t>
      </w:r>
    </w:p>
    <w:p>
      <w:pPr>
        <w:pStyle w:val="ListParagraph"/>
        <w:numPr>
          <w:ilvl w:val="0"/>
          <w:numId w:val="6"/>
        </w:numPr>
        <w:spacing w:after="160"/>
      </w:pPr>
      <w:r>
        <w:rPr>
          <w:rFonts w:ascii="Calibri" w:cs="Calibri" w:eastAsia="Calibri" w:hAnsi="Calibri"/>
          <w:sz w:val="21"/>
          <w:szCs w:val="21"/>
        </w:rPr>
        <w:t xml:space="preserve">Choose ONE real or realistic informal arrangement that was never a written contract but where one party performed a benefit for another expecting payment or reciprocity (for example, a freelancer who completed work based on a verbal understanding that was never formalised). Explain whether this could be treated as a Quasi-Contract under Indian law, and what remedy (if any) the performing party might have.</w:t>
      </w:r>
    </w:p>
    <w:p>
      <w:pPr>
        <w:pStyle w:val="ListParagraph"/>
        <w:numPr>
          <w:ilvl w:val="0"/>
          <w:numId w:val="6"/>
        </w:numPr>
        <w:spacing w:after="160"/>
      </w:pPr>
      <w:r>
        <w:rPr>
          <w:rFonts w:ascii="Calibri" w:cs="Calibri" w:eastAsia="Calibri" w:hAnsi="Calibri"/>
          <w:sz w:val="21"/>
          <w:szCs w:val="21"/>
        </w:rPr>
        <w:t xml:space="preserve">Open Claude (claude.ai). Send this prompt: "Here are my diagnoses of four contract-defect scenarios: [paste your Step 3 diagnoses]. Critique my void-versus-voidable classification specifically — is there any scenario where I may have confused a contract that is void from inception with one that is merely voidable at the option of the aggrieved party?" Record Claude's critique and correct any diagnosis you find genuinely wrong, explaining what changed.</w:t>
      </w:r>
    </w:p>
    <w:p>
      <w:pPr>
        <w:pStyle w:val="ListParagraph"/>
        <w:numPr>
          <w:ilvl w:val="0"/>
          <w:numId w:val="6"/>
        </w:numPr>
        <w:spacing w:after="160"/>
      </w:pPr>
      <w:r>
        <w:rPr>
          <w:rFonts w:ascii="Calibri" w:cs="Calibri" w:eastAsia="Calibri" w:hAnsi="Calibri"/>
          <w:sz w:val="21"/>
          <w:szCs w:val="21"/>
        </w:rPr>
        <w:t xml:space="preserve">Write a 300-word Contract Validity Audit Report presenting your four diagnoses (post-AI-review), your quasi-contract analysis, and one specific, practical takeaway for a manager on why the void-versus-voidable distinction actually matters when deciding whether to walk away from or seek to enforce a problematic agreement.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ChatGPT (GPT-4o / GPT-5)</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Scenario Generation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Generating unlabelled contract-defect scenarios for independent diagnosis</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chat.openai.com</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Claude (Sonnet)</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Diagnosis Critique</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Critiquing the void-versus-voidable classification for potential confusion</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claude.ai</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Element definitions, scenario diagnoses, quasi-contract analysis, and Audit Report</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Correctly define and apply the five essential elements of a valid contract to diagnose realistic fact patterns.</w:t>
      </w:r>
    </w:p>
    <w:p>
      <w:pPr>
        <w:pStyle w:val="ListParagraph"/>
        <w:numPr>
          <w:ilvl w:val="0"/>
          <w:numId w:val="2"/>
        </w:numPr>
        <w:spacing w:after="140"/>
      </w:pPr>
      <w:r>
        <w:rPr>
          <w:rFonts w:ascii="Calibri" w:cs="Calibri" w:eastAsia="Calibri" w:hAnsi="Calibri"/>
          <w:sz w:val="21"/>
          <w:szCs w:val="21"/>
        </w:rPr>
        <w:t xml:space="preserve">Correctly distinguish void, voidable, and unenforceable contracts, with sound legal reasoning for the classification.</w:t>
      </w:r>
    </w:p>
    <w:p>
      <w:pPr>
        <w:pStyle w:val="ListParagraph"/>
        <w:numPr>
          <w:ilvl w:val="0"/>
          <w:numId w:val="2"/>
        </w:numPr>
        <w:spacing w:after="140"/>
      </w:pPr>
      <w:r>
        <w:rPr>
          <w:rFonts w:ascii="Calibri" w:cs="Calibri" w:eastAsia="Calibri" w:hAnsi="Calibri"/>
          <w:sz w:val="21"/>
          <w:szCs w:val="21"/>
        </w:rPr>
        <w:t xml:space="preserve">Recognise and analyse a quasi-contract scenario and its available remedy.</w:t>
      </w:r>
    </w:p>
    <w:p>
      <w:pPr>
        <w:pStyle w:val="ListParagraph"/>
        <w:numPr>
          <w:ilvl w:val="0"/>
          <w:numId w:val="2"/>
        </w:numPr>
        <w:spacing w:after="140"/>
      </w:pPr>
      <w:r>
        <w:rPr>
          <w:rFonts w:ascii="Calibri" w:cs="Calibri" w:eastAsia="Calibri" w:hAnsi="Calibri"/>
          <w:sz w:val="21"/>
          <w:szCs w:val="21"/>
        </w:rPr>
        <w:t xml:space="preserve">Use AI to critique a legal classification for a specific, common type of conceptual confusion, and correct genuine errors.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five element definitions + four scenario diagnoses (with element, classification, and textual evidence) + quasi-contract analysis.</w:t>
      </w:r>
    </w:p>
    <w:p>
      <w:pPr>
        <w:pStyle w:val="ListParagraph"/>
        <w:numPr>
          <w:ilvl w:val="0"/>
          <w:numId w:val="2"/>
        </w:numPr>
        <w:spacing w:after="140"/>
      </w:pPr>
      <w:r>
        <w:rPr>
          <w:rFonts w:ascii="Calibri" w:cs="Calibri" w:eastAsia="Calibri" w:hAnsi="Calibri"/>
          <w:sz w:val="21"/>
          <w:szCs w:val="21"/>
        </w:rPr>
        <w:t xml:space="preserve">(2) Claude's recorded critique + corrections made.</w:t>
      </w:r>
    </w:p>
    <w:p>
      <w:pPr>
        <w:pStyle w:val="ListParagraph"/>
        <w:numPr>
          <w:ilvl w:val="0"/>
          <w:numId w:val="2"/>
        </w:numPr>
        <w:spacing w:after="140"/>
      </w:pPr>
      <w:r>
        <w:rPr>
          <w:rFonts w:ascii="Calibri" w:cs="Calibri" w:eastAsia="Calibri" w:hAnsi="Calibri"/>
          <w:sz w:val="21"/>
          <w:szCs w:val="21"/>
        </w:rPr>
        <w:t xml:space="preserve">(3) 300-word Contract Validity Audit Report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Essential Elements &amp; Scenario Diagnosis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All five elements are correctly and precisely defined; all four scenarios are correctly diagnosed with the specific defective element identified, the correct void/voidable/unenforceable classification, and specific textual evidence cited.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Elements correctly defined; most scenarios correctly diagnosed with reasonable evidence.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One or two scenarios are misdiagnosed or lack specific textual evidence.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Elements incorrectly defined, or most scenarios misdiagnosed.</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Quasi-Contract Analysis</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quasi-contract scenario is realistic and specific, and the analysis of applicability and remedy is legally sound and well-reasoned.</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Quasi-contract analysis reasonably sound.</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Quasi-contract analysis is generic or the applicability reasoning is weak.</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Quasi-contract analysis absent or fundamentally incorrect.</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25%</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Critique &amp; Audit Report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is recorded in full and any genuine void/voidable confusion is correctly identified and corrected, with the change explained; the Report draws a specific, practical, well-reasoned managerial takeaway.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and reasonably addressed; Report covers most required elements.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but not clearly addressed; Report's takeaway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critique recorded, or Report absent/below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bl>
    <w:p>
      <w:pPr>
        <w:pStyle w:val="Heading2"/>
        <w:pageBreakBefore/>
        <w:spacing w:after="160"/>
      </w:pPr>
      <w:r>
        <w:rPr>
          <w:rFonts w:ascii="Calibri" w:cs="Calibri" w:eastAsia="Calibri" w:hAnsi="Calibri"/>
          <w:b/>
          <w:bCs/>
          <w:color w:val="162A4A"/>
        </w:rPr>
        <w:t xml:space="preserve">Activity 5: NDA &amp; SaaS Service Agreement Drafting and AI-Assisted Redlining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5</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NDA &amp; SaaS Service Agreement Drafting and AI-Assisted Redlining</w:t>
            </w:r>
          </w:p>
          <w:p>
            <w:pPr>
              <w:spacing w:after="0"/>
            </w:pPr>
            <w:r>
              <w:rPr>
                <w:rFonts w:ascii="Calibri" w:cs="Calibri" w:eastAsia="Calibri" w:hAnsi="Calibri"/>
                <w:i/>
                <w:iCs/>
                <w:color w:val="595959"/>
                <w:sz w:val="19"/>
                <w:szCs w:val="19"/>
              </w:rPr>
              <w:t xml:space="preserve">Unit 2 — Contract Law, Drafting and Digital Agreements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4–5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[RollNo]_LAW_Act05</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This activity directly builds Assessment 2 (Contract Drafting Assignment) and the Practical Exercise prescribed for this unit — drafting and redlining an NDA and a SaaS service agreement with the specific clauses this course requires (indemnity, limitation of liability, confidentiality, termination, dispute resolution) — so mastering it now is direct preparation for a graded deliverable.</w:t>
      </w:r>
    </w:p>
    <w:p>
      <w:pPr>
        <w:pStyle w:val="ListParagraph"/>
        <w:numPr>
          <w:ilvl w:val="0"/>
          <w:numId w:val="2"/>
        </w:numPr>
        <w:spacing w:after="140"/>
      </w:pPr>
      <w:r>
        <w:rPr>
          <w:rFonts w:ascii="Calibri" w:cs="Calibri" w:eastAsia="Calibri" w:hAnsi="Calibri"/>
          <w:sz w:val="21"/>
          <w:szCs w:val="21"/>
        </w:rPr>
        <w:t xml:space="preserve">Drafting a clause is a different and harder skill than recognising one — this activity requires you to write actual contract language, then have it critiqued by an AI tool and revise it, which mirrors exactly how AI-assisted contract review and Contract Lifecycle Management (CLM) tools are used in real legal and business-operations teams today.</w:t>
      </w:r>
    </w:p>
    <w:p>
      <w:pPr>
        <w:pStyle w:val="ListParagraph"/>
        <w:numPr>
          <w:ilvl w:val="0"/>
          <w:numId w:val="2"/>
        </w:numPr>
        <w:spacing w:after="140"/>
      </w:pPr>
      <w:r>
        <w:rPr>
          <w:rFonts w:ascii="Calibri" w:cs="Calibri" w:eastAsia="Calibri" w:hAnsi="Calibri"/>
          <w:sz w:val="21"/>
          <w:szCs w:val="21"/>
        </w:rPr>
        <w:t xml:space="preserve">Redlining (proposing specific, tracked changes to a counterparty's draft with a reasoned justification for each change) is the actual mechanical skill of contract negotiation, and this activity requires you to practise it on your own draft before you negotiate with a real counterparty in a future professional context.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7"/>
        </w:numPr>
        <w:spacing w:after="160"/>
      </w:pPr>
      <w:r>
        <w:rPr>
          <w:rFonts w:ascii="Calibri" w:cs="Calibri" w:eastAsia="Calibri" w:hAnsi="Calibri"/>
          <w:sz w:val="21"/>
          <w:szCs w:val="21"/>
        </w:rPr>
        <w:t xml:space="preserve">Choose a realistic scenario: a startup ('Company') is engaging a freelance software contractor ('Contractor') to build a custom feature, and both parties will sign an NDA before discussions and a SaaS-style Service Agreement once terms are settled. State the parties, the engagement scope, and the approximate contract value in 100 words.</w:t>
      </w:r>
    </w:p>
    <w:p>
      <w:pPr>
        <w:pStyle w:val="ListParagraph"/>
        <w:numPr>
          <w:ilvl w:val="0"/>
          <w:numId w:val="7"/>
        </w:numPr>
        <w:spacing w:after="160"/>
      </w:pPr>
      <w:r>
        <w:rPr>
          <w:rFonts w:ascii="Calibri" w:cs="Calibri" w:eastAsia="Calibri" w:hAnsi="Calibri"/>
          <w:sz w:val="21"/>
          <w:szCs w:val="21"/>
        </w:rPr>
        <w:t xml:space="preserve">Draft a complete NDA (400-500 words) for this scenario, including: definition of Confidential Information, obligations of the receiving party, exclusions from confidentiality (information already public, independently developed, etc.), term/duration of the confidentiality obligation, and a remedies/injunctive-relief clause for breach.</w:t>
      </w:r>
    </w:p>
    <w:p>
      <w:pPr>
        <w:pStyle w:val="ListParagraph"/>
        <w:numPr>
          <w:ilvl w:val="0"/>
          <w:numId w:val="7"/>
        </w:numPr>
        <w:spacing w:after="160"/>
      </w:pPr>
      <w:r>
        <w:rPr>
          <w:rFonts w:ascii="Calibri" w:cs="Calibri" w:eastAsia="Calibri" w:hAnsi="Calibri"/>
          <w:sz w:val="21"/>
          <w:szCs w:val="21"/>
        </w:rPr>
        <w:t xml:space="preserve">Draft a Service Agreement (600-800 words) for the same scenario, explicitly incorporating ALL FIVE of the following clauses as distinct, clearly labelled sections: an Indemnity clause, a Limitation of Liability clause (with a specific stated cap, e.g., tied to fees paid), a Confidentiality clause (can cross-reference the NDA), a Termination clause (stating both for-convenience and for-cause termination with notice periods), and a Dispute Resolution clause (drawing on your Activity 3 ADR analysis).</w:t>
      </w:r>
    </w:p>
    <w:p>
      <w:pPr>
        <w:pStyle w:val="ListParagraph"/>
        <w:numPr>
          <w:ilvl w:val="0"/>
          <w:numId w:val="7"/>
        </w:numPr>
        <w:spacing w:after="160"/>
      </w:pPr>
      <w:r>
        <w:rPr>
          <w:rFonts w:ascii="Calibri" w:cs="Calibri" w:eastAsia="Calibri" w:hAnsi="Calibri"/>
          <w:sz w:val="21"/>
          <w:szCs w:val="21"/>
        </w:rPr>
        <w:t xml:space="preserve">Open an AI contract-review tool of your choice (ChatGPT, Claude, or a dedicated AI contract-review tool if you have access) and send your full Service Agreement draft with this prompt: "Review this SaaS Service Agreement draft as an AI-assisted contract reviewer would. Identify any clause that is (a) ambiguous, (b) one-sided in a way that could be commercially unreasonable, or (c) missing a standard protection a contract of this type should have." Record the AI's review comments in full.</w:t>
      </w:r>
    </w:p>
    <w:p>
      <w:pPr>
        <w:pStyle w:val="ListParagraph"/>
        <w:numPr>
          <w:ilvl w:val="0"/>
          <w:numId w:val="7"/>
        </w:numPr>
        <w:spacing w:after="160"/>
      </w:pPr>
      <w:r>
        <w:rPr>
          <w:rFonts w:ascii="Calibri" w:cs="Calibri" w:eastAsia="Calibri" w:hAnsi="Calibri"/>
          <w:sz w:val="21"/>
          <w:szCs w:val="21"/>
        </w:rPr>
        <w:t xml:space="preserve">Redline your OWN draft based on the AI's review: for each comment you accept, mark the specific change you made (show original text struck through or noted, and the revised text) with a one-sentence justification; for any comment you reject, state why in one sentence.</w:t>
      </w:r>
    </w:p>
    <w:p>
      <w:pPr>
        <w:pStyle w:val="ListParagraph"/>
        <w:numPr>
          <w:ilvl w:val="0"/>
          <w:numId w:val="7"/>
        </w:numPr>
        <w:spacing w:after="160"/>
      </w:pPr>
      <w:r>
        <w:rPr>
          <w:rFonts w:ascii="Calibri" w:cs="Calibri" w:eastAsia="Calibri" w:hAnsi="Calibri"/>
          <w:sz w:val="21"/>
          <w:szCs w:val="21"/>
        </w:rPr>
        <w:t xml:space="preserve">Exchange perspectives by simulating the OTHER party's viewpoint: choose the clause in your revised agreement most likely to be pushed back on by the Contractor (rather than the Company), and draft ONE specific counter-proposal (in redline form) the Contractor might reasonably propose, with a one-sentence rationale for why the Contractor would want that change.</w:t>
      </w:r>
    </w:p>
    <w:p>
      <w:pPr>
        <w:pStyle w:val="ListParagraph"/>
        <w:numPr>
          <w:ilvl w:val="0"/>
          <w:numId w:val="7"/>
        </w:numPr>
        <w:spacing w:after="160"/>
      </w:pPr>
      <w:r>
        <w:rPr>
          <w:rFonts w:ascii="Calibri" w:cs="Calibri" w:eastAsia="Calibri" w:hAnsi="Calibri"/>
          <w:sz w:val="21"/>
          <w:szCs w:val="21"/>
        </w:rPr>
        <w:t xml:space="preserve">Write a 300-word Drafting &amp; Negotiation Summary combining a brief description of your NDA and Service Agreement, the AI review process and how it improved your draft, and your anticipated Contractor counter-proposal with your own view on whether the Company should accept it in a real negotiation.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ChatGPT (GPT-4o / GPT-5) or Claude (Sonnet)</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AI-Assisted Contract Review</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Reviewing the drafted Service Agreement for ambiguity, one-sidedness, and missing protections</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chat.openai.com / claude.ai</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Contract Drafting</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NDA, Service Agreement, redlines, and Drafting &amp; Negotiation Summary</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Draft a complete, professionally structured NDA with all standard protective clauses.</w:t>
      </w:r>
    </w:p>
    <w:p>
      <w:pPr>
        <w:pStyle w:val="ListParagraph"/>
        <w:numPr>
          <w:ilvl w:val="0"/>
          <w:numId w:val="2"/>
        </w:numPr>
        <w:spacing w:after="140"/>
      </w:pPr>
      <w:r>
        <w:rPr>
          <w:rFonts w:ascii="Calibri" w:cs="Calibri" w:eastAsia="Calibri" w:hAnsi="Calibri"/>
          <w:sz w:val="21"/>
          <w:szCs w:val="21"/>
        </w:rPr>
        <w:t xml:space="preserve">Draft a complete Service Agreement incorporating indemnity, limitation of liability, confidentiality, termination, and dispute resolution clauses.</w:t>
      </w:r>
    </w:p>
    <w:p>
      <w:pPr>
        <w:pStyle w:val="ListParagraph"/>
        <w:numPr>
          <w:ilvl w:val="0"/>
          <w:numId w:val="2"/>
        </w:numPr>
        <w:spacing w:after="140"/>
      </w:pPr>
      <w:r>
        <w:rPr>
          <w:rFonts w:ascii="Calibri" w:cs="Calibri" w:eastAsia="Calibri" w:hAnsi="Calibri"/>
          <w:sz w:val="21"/>
          <w:szCs w:val="21"/>
        </w:rPr>
        <w:t xml:space="preserve">Use AI-assisted contract review to identify ambiguity, one-sidedness, and missing protections, and redline a draft in response with documented reasoning.</w:t>
      </w:r>
    </w:p>
    <w:p>
      <w:pPr>
        <w:pStyle w:val="ListParagraph"/>
        <w:numPr>
          <w:ilvl w:val="0"/>
          <w:numId w:val="2"/>
        </w:numPr>
        <w:spacing w:after="140"/>
      </w:pPr>
      <w:r>
        <w:rPr>
          <w:rFonts w:ascii="Calibri" w:cs="Calibri" w:eastAsia="Calibri" w:hAnsi="Calibri"/>
          <w:sz w:val="21"/>
          <w:szCs w:val="21"/>
        </w:rPr>
        <w:t xml:space="preserve">Anticipate a counterparty's likely negotiation position on a specific clause and evaluate whether to accept it.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Drafted NDA (400-500 words).</w:t>
      </w:r>
    </w:p>
    <w:p>
      <w:pPr>
        <w:pStyle w:val="ListParagraph"/>
        <w:numPr>
          <w:ilvl w:val="0"/>
          <w:numId w:val="2"/>
        </w:numPr>
        <w:spacing w:after="140"/>
      </w:pPr>
      <w:r>
        <w:rPr>
          <w:rFonts w:ascii="Calibri" w:cs="Calibri" w:eastAsia="Calibri" w:hAnsi="Calibri"/>
          <w:sz w:val="21"/>
          <w:szCs w:val="21"/>
        </w:rPr>
        <w:t xml:space="preserve">(2) Drafted Service Agreement (600-800 words) with all five required clauses clearly labelled.</w:t>
      </w:r>
    </w:p>
    <w:p>
      <w:pPr>
        <w:pStyle w:val="ListParagraph"/>
        <w:numPr>
          <w:ilvl w:val="0"/>
          <w:numId w:val="2"/>
        </w:numPr>
        <w:spacing w:after="140"/>
      </w:pPr>
      <w:r>
        <w:rPr>
          <w:rFonts w:ascii="Calibri" w:cs="Calibri" w:eastAsia="Calibri" w:hAnsi="Calibri"/>
          <w:sz w:val="21"/>
          <w:szCs w:val="21"/>
        </w:rPr>
        <w:t xml:space="preserve">(3) AI contract review comments (recorded in full) + your redlined revision with accept/reject justifications for each comment.</w:t>
      </w:r>
    </w:p>
    <w:p>
      <w:pPr>
        <w:pStyle w:val="ListParagraph"/>
        <w:numPr>
          <w:ilvl w:val="0"/>
          <w:numId w:val="2"/>
        </w:numPr>
        <w:spacing w:after="140"/>
      </w:pPr>
      <w:r>
        <w:rPr>
          <w:rFonts w:ascii="Calibri" w:cs="Calibri" w:eastAsia="Calibri" w:hAnsi="Calibri"/>
          <w:sz w:val="21"/>
          <w:szCs w:val="21"/>
        </w:rPr>
        <w:t xml:space="preserve">(4) Simulated Contractor counter-proposal (redline form) with rationale.</w:t>
      </w:r>
    </w:p>
    <w:p>
      <w:pPr>
        <w:pStyle w:val="ListParagraph"/>
        <w:numPr>
          <w:ilvl w:val="0"/>
          <w:numId w:val="2"/>
        </w:numPr>
        <w:spacing w:after="140"/>
      </w:pPr>
      <w:r>
        <w:rPr>
          <w:rFonts w:ascii="Calibri" w:cs="Calibri" w:eastAsia="Calibri" w:hAnsi="Calibri"/>
          <w:sz w:val="21"/>
          <w:szCs w:val="21"/>
        </w:rPr>
        <w:t xml:space="preserve">(5) 300-word Drafting &amp; Negotiation Summary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NDA &amp; Service Agreement Drafting Quality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Both documents are professionally drafted, contract-ready, and complete; the Service Agreement includes all five required clauses (indemnity, limitation of liability, confidentiality, termination, dispute resolution) as distinct, substantively sound sections, not placeholder text.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Both documents drafted with all required clauses present; one or two clauses could be more precise.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One or more required clauses is missing, generic, or legally unsound.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Documents are incomplete, or multiple required clauses are missing.</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Review &amp; Redlining</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AI review comments are recorded in full and substantive; the redline responds to each comment with a specific accept-and-change or reject-and-justify decision, showing genuine engagement rather than blanket acceptance or rejection.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AI review recorded; redline responds to most comments with reasonable justification.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AI review recorded but redline responses are superficial or inconsistent.</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review recorded, or redline not genuinely responsive to the review.</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Counterparty Simulation &amp; Negotiation Summary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simulated Contractor counter-proposal is specific, commercially realistic, and well-reasoned from the Contractor's genuine perspective; the Summary gives a clear, reasoned view on whether the Company should accept it.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Counter-proposal reasonably realistic; Summary gives a reasonable view.</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Counter-proposal is generic or not genuinely from the Contractor's perspective; Summary's view is unclear.</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counter-proposal simulated, or Summary absent/below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25%</w:t>
            </w:r>
          </w:p>
        </w:tc>
      </w:tr>
    </w:tbl>
    <w:p>
      <w:pPr>
        <w:pStyle w:val="Heading2"/>
        <w:pageBreakBefore/>
        <w:spacing w:after="160"/>
      </w:pPr>
      <w:r>
        <w:rPr>
          <w:rFonts w:ascii="Calibri" w:cs="Calibri" w:eastAsia="Calibri" w:hAnsi="Calibri"/>
          <w:b/>
          <w:bCs/>
          <w:color w:val="162A4A"/>
        </w:rPr>
        <w:t xml:space="preserve">Activity 6: E-Contracts, Digital Agreement Validity &amp; Breach Remedies Diagnosis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6</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E-Contracts, Digital Agreement Validity &amp; Breach Remedies Diagnosis</w:t>
            </w:r>
          </w:p>
          <w:p>
            <w:pPr>
              <w:spacing w:after="0"/>
            </w:pPr>
            <w:r>
              <w:rPr>
                <w:rFonts w:ascii="Calibri" w:cs="Calibri" w:eastAsia="Calibri" w:hAnsi="Calibri"/>
                <w:i/>
                <w:iCs/>
                <w:color w:val="595959"/>
                <w:sz w:val="19"/>
                <w:szCs w:val="19"/>
              </w:rPr>
              <w:t xml:space="preserve">Unit 2 — Contract Law, Drafting and Digital Agreements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[RollNo]_LAW_Act06</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Nearly every consumer and B2B digital transaction today is formed through an e-contract — a click-wrap or browse-wrap agreement — and knowing what makes such an agreement legally valid under the Information Technology Act, 2000 (electronic signatures, record retention, assent mechanisms) is directly relevant to any product, growth, or operations role in a digital business.</w:t>
      </w:r>
    </w:p>
    <w:p>
      <w:pPr>
        <w:pStyle w:val="ListParagraph"/>
        <w:numPr>
          <w:ilvl w:val="0"/>
          <w:numId w:val="2"/>
        </w:numPr>
        <w:spacing w:after="140"/>
      </w:pPr>
      <w:r>
        <w:rPr>
          <w:rFonts w:ascii="Calibri" w:cs="Calibri" w:eastAsia="Calibri" w:hAnsi="Calibri"/>
          <w:sz w:val="21"/>
          <w:szCs w:val="21"/>
        </w:rPr>
        <w:t xml:space="preserve">Correctly distinguishing the remedies available for breach of contract — damages, specific performance, injunctions, and liquidated damages — and knowing which remedy is actually appropriate for a given type of breach, is a sharper and more valuable skill than defining the four remedies in the abstract.</w:t>
      </w:r>
    </w:p>
    <w:p>
      <w:pPr>
        <w:pStyle w:val="ListParagraph"/>
        <w:numPr>
          <w:ilvl w:val="0"/>
          <w:numId w:val="2"/>
        </w:numPr>
        <w:spacing w:after="140"/>
      </w:pPr>
      <w:r>
        <w:rPr>
          <w:rFonts w:ascii="Calibri" w:cs="Calibri" w:eastAsia="Calibri" w:hAnsi="Calibri"/>
          <w:sz w:val="21"/>
          <w:szCs w:val="21"/>
        </w:rPr>
        <w:t xml:space="preserve">This activity requires you to examine a REAL digital platform's actual terms-of-service and checkout flow, connecting the abstract IT Act framework to something you can observe and evaluate yourself right now.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8"/>
        </w:numPr>
        <w:spacing w:after="160"/>
      </w:pPr>
      <w:r>
        <w:rPr>
          <w:rFonts w:ascii="Calibri" w:cs="Calibri" w:eastAsia="Calibri" w:hAnsi="Calibri"/>
          <w:sz w:val="21"/>
          <w:szCs w:val="21"/>
        </w:rPr>
        <w:t xml:space="preserve">Choose ONE real Indian or global digital platform you use (an e-commerce site, a food-delivery app, or a SaaS tool) and locate its Terms of Service/Terms of Use. Take a screenshot or note the specific mechanism by which a user is deemed to accept the terms (for example, a checkbox requiring active assent before checkout — click-wrap; or a footer link to terms with no active assent step — browse-wrap).</w:t>
      </w:r>
    </w:p>
    <w:p>
      <w:pPr>
        <w:pStyle w:val="ListParagraph"/>
        <w:numPr>
          <w:ilvl w:val="0"/>
          <w:numId w:val="8"/>
        </w:numPr>
        <w:spacing w:after="160"/>
      </w:pPr>
      <w:r>
        <w:rPr>
          <w:rFonts w:ascii="Calibri" w:cs="Calibri" w:eastAsia="Calibri" w:hAnsi="Calibri"/>
          <w:sz w:val="21"/>
          <w:szCs w:val="21"/>
        </w:rPr>
        <w:t xml:space="preserve">Classify the platform's agreement mechanism as click-wrap or browse-wrap, with your evidence from Step 1, and state which is generally considered MORE legally robust/enforceable and why, referencing the concept of a user's demonstrated assent.</w:t>
      </w:r>
    </w:p>
    <w:p>
      <w:pPr>
        <w:pStyle w:val="ListParagraph"/>
        <w:numPr>
          <w:ilvl w:val="0"/>
          <w:numId w:val="8"/>
        </w:numPr>
        <w:spacing w:after="160"/>
      </w:pPr>
      <w:r>
        <w:rPr>
          <w:rFonts w:ascii="Calibri" w:cs="Calibri" w:eastAsia="Calibri" w:hAnsi="Calibri"/>
          <w:sz w:val="21"/>
          <w:szCs w:val="21"/>
        </w:rPr>
        <w:t xml:space="preserve">Research (using Perplexity AI, perplexity.ai, or the IT Act's own text) what the Information Technology Act, 2000 (as amended) requires for an electronic record and an electronic/digital signature to be treated as legally valid, and state in 150 words whether your chosen platform's acceptance mechanism would likely satisfy this standard.</w:t>
      </w:r>
    </w:p>
    <w:p>
      <w:pPr>
        <w:pStyle w:val="ListParagraph"/>
        <w:numPr>
          <w:ilvl w:val="0"/>
          <w:numId w:val="8"/>
        </w:numPr>
        <w:spacing w:after="160"/>
      </w:pPr>
      <w:r>
        <w:rPr>
          <w:rFonts w:ascii="Calibri" w:cs="Calibri" w:eastAsia="Calibri" w:hAnsi="Calibri"/>
          <w:sz w:val="21"/>
          <w:szCs w:val="21"/>
        </w:rPr>
        <w:t xml:space="preserve">Design a realistic breach scenario for your chosen platform (for example, the platform failing to deliver a paid subscription's promised features, or a seller on the platform failing to deliver purchased goods). For this specific scenario, determine which remedy — damages, specific performance, an injunction, or liquidated damages (if the contract specifies a pre-agreed sum) — would be the MOST appropriate and realistically available remedy, with a one-paragraph justification explaining why the other three remedies would be less suitable for this specific type of breach.</w:t>
      </w:r>
    </w:p>
    <w:p>
      <w:pPr>
        <w:pStyle w:val="ListParagraph"/>
        <w:numPr>
          <w:ilvl w:val="0"/>
          <w:numId w:val="8"/>
        </w:numPr>
        <w:spacing w:after="160"/>
      </w:pPr>
      <w:r>
        <w:rPr>
          <w:rFonts w:ascii="Calibri" w:cs="Calibri" w:eastAsia="Calibri" w:hAnsi="Calibri"/>
          <w:sz w:val="21"/>
          <w:szCs w:val="21"/>
        </w:rPr>
        <w:t xml:space="preserve">Open ChatGPT (chat.openai.com). Send this prompt: "Here is my breach scenario and remedy analysis for a digital platform: [paste your Step 4 scenario and remedy choice]. Play devil's advocate: argue that a DIFFERENT remedy from the four (damages, specific performance, injunction, liquidated damages) would actually be more appropriate or more practically obtainable, and explain why." Record ChatGPT's counter-argument.</w:t>
      </w:r>
    </w:p>
    <w:p>
      <w:pPr>
        <w:pStyle w:val="ListParagraph"/>
        <w:numPr>
          <w:ilvl w:val="0"/>
          <w:numId w:val="8"/>
        </w:numPr>
        <w:spacing w:after="160"/>
      </w:pPr>
      <w:r>
        <w:rPr>
          <w:rFonts w:ascii="Calibri" w:cs="Calibri" w:eastAsia="Calibri" w:hAnsi="Calibri"/>
          <w:sz w:val="21"/>
          <w:szCs w:val="21"/>
        </w:rPr>
        <w:t xml:space="preserve">Write a 150-word rebuttal directly addressing ChatGPT's specific counter-argument, defending or revising your remedy choice with clear reasoning.</w:t>
      </w:r>
    </w:p>
    <w:p>
      <w:pPr>
        <w:pStyle w:val="ListParagraph"/>
        <w:numPr>
          <w:ilvl w:val="0"/>
          <w:numId w:val="8"/>
        </w:numPr>
        <w:spacing w:after="160"/>
      </w:pPr>
      <w:r>
        <w:rPr>
          <w:rFonts w:ascii="Calibri" w:cs="Calibri" w:eastAsia="Calibri" w:hAnsi="Calibri"/>
          <w:sz w:val="21"/>
          <w:szCs w:val="21"/>
        </w:rPr>
        <w:t xml:space="preserve">Write a 300-word E-Contract &amp; Remedies Analysis combining your click-wrap/browse-wrap classification, your IT Act validity assessment, your defended remedy choice and AI-tested rebuttal, and one practical recommendation for how the platform could strengthen its e-contract's enforceability.</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Real Digital Platform Terms of Service</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Source</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Examining the actual assent mechanism used by a real e-commerce/SaaS platform</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Platform website</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Perplexity AI</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Legal Research</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Researching IT Act, 2000 requirements for valid electronic records/signatures</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perplexity.ai</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ChatGPT (GPT-4o / GPT-5)</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Devil's Advocate</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Stress-testing the chosen breach remedy with an alternative argument</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chat.openai.com</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Classification, IT Act assessment, remedy analysis, and E-Contract &amp; Remedies Analysis</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Correctly classify a real digital platform's e-contract formation mechanism as click-wrap or browse-wrap, with evidence.</w:t>
      </w:r>
    </w:p>
    <w:p>
      <w:pPr>
        <w:pStyle w:val="ListParagraph"/>
        <w:numPr>
          <w:ilvl w:val="0"/>
          <w:numId w:val="2"/>
        </w:numPr>
        <w:spacing w:after="140"/>
      </w:pPr>
      <w:r>
        <w:rPr>
          <w:rFonts w:ascii="Calibri" w:cs="Calibri" w:eastAsia="Calibri" w:hAnsi="Calibri"/>
          <w:sz w:val="21"/>
          <w:szCs w:val="21"/>
        </w:rPr>
        <w:t xml:space="preserve">Assess a real digital agreement's likely validity under the Information Technology Act, 2000's electronic record/signature requirements.</w:t>
      </w:r>
    </w:p>
    <w:p>
      <w:pPr>
        <w:pStyle w:val="ListParagraph"/>
        <w:numPr>
          <w:ilvl w:val="0"/>
          <w:numId w:val="2"/>
        </w:numPr>
        <w:spacing w:after="140"/>
      </w:pPr>
      <w:r>
        <w:rPr>
          <w:rFonts w:ascii="Calibri" w:cs="Calibri" w:eastAsia="Calibri" w:hAnsi="Calibri"/>
          <w:sz w:val="21"/>
          <w:szCs w:val="21"/>
        </w:rPr>
        <w:t xml:space="preserve">Correctly identify the most appropriate remedy (damages, specific performance, injunction, liquidated damages) for a specific type of contract breach.</w:t>
      </w:r>
    </w:p>
    <w:p>
      <w:pPr>
        <w:pStyle w:val="ListParagraph"/>
        <w:numPr>
          <w:ilvl w:val="0"/>
          <w:numId w:val="2"/>
        </w:numPr>
        <w:spacing w:after="140"/>
      </w:pPr>
      <w:r>
        <w:rPr>
          <w:rFonts w:ascii="Calibri" w:cs="Calibri" w:eastAsia="Calibri" w:hAnsi="Calibri"/>
          <w:sz w:val="21"/>
          <w:szCs w:val="21"/>
        </w:rPr>
        <w:t xml:space="preserve">Use AI as a devil's advocate to stress-test a remedy choice and produce a more defensible final position.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platform assent-mechanism evidence + click-wrap/browse-wrap classification + IT Act validity assessment + defended remedy choice with justification.</w:t>
      </w:r>
    </w:p>
    <w:p>
      <w:pPr>
        <w:pStyle w:val="ListParagraph"/>
        <w:numPr>
          <w:ilvl w:val="0"/>
          <w:numId w:val="2"/>
        </w:numPr>
        <w:spacing w:after="140"/>
      </w:pPr>
      <w:r>
        <w:rPr>
          <w:rFonts w:ascii="Calibri" w:cs="Calibri" w:eastAsia="Calibri" w:hAnsi="Calibri"/>
          <w:sz w:val="21"/>
          <w:szCs w:val="21"/>
        </w:rPr>
        <w:t xml:space="preserve">(2) ChatGPT's recorded counter-argument + your 150-word rebuttal.</w:t>
      </w:r>
    </w:p>
    <w:p>
      <w:pPr>
        <w:pStyle w:val="ListParagraph"/>
        <w:numPr>
          <w:ilvl w:val="0"/>
          <w:numId w:val="2"/>
        </w:numPr>
        <w:spacing w:after="140"/>
      </w:pPr>
      <w:r>
        <w:rPr>
          <w:rFonts w:ascii="Calibri" w:cs="Calibri" w:eastAsia="Calibri" w:hAnsi="Calibri"/>
          <w:sz w:val="21"/>
          <w:szCs w:val="21"/>
        </w:rPr>
        <w:t xml:space="preserve">(3) 300-word E-Contract &amp; Remedies Analysis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E-Contract Classification &amp; IT Act Assessment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click-wrap/browse-wrap classification is correct and evidenced with a specific real screenshot or description; the IT Act validity assessment correctly applies the electronic record/signature standard to the actual platform mechanism observed.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Classification correct with reasonable evidence; IT Act assessment reasonably applied.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Classification is asserted without clear evidence, or IT Act assessment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Classification incorrect or not evidenced; IT Act assessment absent or fundamentally wrong.</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Remedy Identification &amp; AI-Tested Defence</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remedy choice is correct and well-justified for the specific breach scenario, with clear reasoning for why the other three remedies are less suitable; ChatGPT's counter-argument is recorded in full and the rebuttal substantively engages with the specific alternative raised.</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Remedy choice reasonably justified; rebuttal engages with ChatGPT's counter-argument adequately.</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Remedy choice lacks clear comparative justification; rebuttal restates the original position without engagement.</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Remedy choice incorrect or unjustified, or no AI counter-argument recorded.</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E-Contract &amp; Remedies Analysis Synthesis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Analysis synthesises all elements coherently and offers a specific, practical recommendation for strengthening e-contract enforceability.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Analysis covers most required elements with a reasonable recommendation.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Analysis is generic or the recommendation is vague.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Analysis absent or 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25%</w:t>
            </w:r>
          </w:p>
        </w:tc>
      </w:tr>
    </w:tbl>
    <w:p>
      <w:pPr>
        <w:pStyle w:val="Heading1"/>
        <w:pageBreakBefore/>
        <w:spacing w:after="120"/>
      </w:pPr>
      <w:r>
        <w:rPr>
          <w:rFonts w:ascii="Calibri" w:cs="Calibri" w:eastAsia="Calibri" w:hAnsi="Calibri"/>
          <w:b/>
          <w:bCs/>
          <w:color w:val="162A4A"/>
        </w:rPr>
        <w:t xml:space="preserve">Unit 3 — Sale of Goods, Negotiable Instruments, and Business Entities</w:t>
      </w:r>
    </w:p>
    <w:p>
      <w:pPr>
        <w:spacing w:after="260"/>
      </w:pPr>
      <w:r>
        <w:rPr>
          <w:rFonts w:ascii="Calibri" w:cs="Calibri" w:eastAsia="Calibri" w:hAnsi="Calibri"/>
          <w:i/>
          <w:iCs/>
          <w:color w:val="595959"/>
          <w:sz w:val="21"/>
          <w:szCs w:val="21"/>
        </w:rPr>
        <w:t xml:space="preserve">Activities 7, 8, and 9 build transaction-structuring literacy — diagnosing rights and risk allocation under the Sale of Goods Act on a real transaction, analysing cheque dishonour and digital-payment liability under the Negotiable Instruments Act, and building a full comparative framework for choosing a real startup's business entity.</w:t>
      </w:r>
    </w:p>
    <w:p>
      <w:pPr>
        <w:pStyle w:val="Heading2"/>
        <w:pageBreakBefore/>
        <w:spacing w:after="160"/>
      </w:pPr>
      <w:r>
        <w:rPr>
          <w:rFonts w:ascii="Calibri" w:cs="Calibri" w:eastAsia="Calibri" w:hAnsi="Calibri"/>
          <w:b/>
          <w:bCs/>
          <w:color w:val="162A4A"/>
        </w:rPr>
        <w:t xml:space="preserve">Activity 7: Sale of Goods Act Case Lab — Conditions, Warranties and the Unpaid Seller's Rights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7</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Sale of Goods Act Case Lab — Conditions, Warranties and the Unpaid Seller's Rights</w:t>
            </w:r>
          </w:p>
          <w:p>
            <w:pPr>
              <w:spacing w:after="0"/>
            </w:pPr>
            <w:r>
              <w:rPr>
                <w:rFonts w:ascii="Calibri" w:cs="Calibri" w:eastAsia="Calibri" w:hAnsi="Calibri"/>
                <w:i/>
                <w:iCs/>
                <w:color w:val="595959"/>
                <w:sz w:val="19"/>
                <w:szCs w:val="19"/>
              </w:rPr>
              <w:t xml:space="preserve">Unit 3 — Sale of Goods, Negotiable Instruments, and Business Entities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[RollNo]_LAW_Act07</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Correctly distinguishing a Condition (a fundamental term whose breach lets the buyer repudiate the contract) from a Warranty (a lesser term whose breach only gives a right to damages) is the single most consequential judgement call in a real sale-of-goods dispute, and this activity requires you to make that call on a specific fact pattern, not recite the definitions.</w:t>
      </w:r>
    </w:p>
    <w:p>
      <w:pPr>
        <w:pStyle w:val="ListParagraph"/>
        <w:numPr>
          <w:ilvl w:val="0"/>
          <w:numId w:val="2"/>
        </w:numPr>
        <w:spacing w:after="140"/>
      </w:pPr>
      <w:r>
        <w:rPr>
          <w:rFonts w:ascii="Calibri" w:cs="Calibri" w:eastAsia="Calibri" w:hAnsi="Calibri"/>
          <w:sz w:val="21"/>
          <w:szCs w:val="21"/>
        </w:rPr>
        <w:t xml:space="preserve">Understanding exactly when property (ownership) transfers from seller to buyer — and how this differs from mere possession — determines who bears the risk of loss if goods are damaged or destroyed in transit, a genuinely high-stakes question for any business that buys, sells, or ships physical goods.</w:t>
      </w:r>
    </w:p>
    <w:p>
      <w:pPr>
        <w:pStyle w:val="ListParagraph"/>
        <w:numPr>
          <w:ilvl w:val="0"/>
          <w:numId w:val="2"/>
        </w:numPr>
        <w:spacing w:after="140"/>
      </w:pPr>
      <w:r>
        <w:rPr>
          <w:rFonts w:ascii="Calibri" w:cs="Calibri" w:eastAsia="Calibri" w:hAnsi="Calibri"/>
          <w:sz w:val="21"/>
          <w:szCs w:val="21"/>
        </w:rPr>
        <w:t xml:space="preserve">The Unpaid Seller's Rights (lien, stoppage in transit, resale) are a specific, practical toolkit for a business that has shipped goods without receiving payment — this activity requires you to correctly identify WHICH right applies at which stage of a transaction, since they are time- and possession-dependent.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9"/>
        </w:numPr>
        <w:spacing w:after="160"/>
      </w:pPr>
      <w:r>
        <w:rPr>
          <w:rFonts w:ascii="Calibri" w:cs="Calibri" w:eastAsia="Calibri" w:hAnsi="Calibri"/>
          <w:sz w:val="21"/>
          <w:szCs w:val="21"/>
        </w:rPr>
        <w:t xml:space="preserve">Choose or construct ONE realistic B2B sale-of-goods scenario (for example, a garment exporter selling a bulk order to a foreign retailer, or a components manufacturer selling to an assembly-line customer), specifying the goods, the agreed delivery terms, and the payment terms. State this in 150 words.</w:t>
      </w:r>
    </w:p>
    <w:p>
      <w:pPr>
        <w:pStyle w:val="ListParagraph"/>
        <w:numPr>
          <w:ilvl w:val="0"/>
          <w:numId w:val="9"/>
        </w:numPr>
        <w:spacing w:after="160"/>
      </w:pPr>
      <w:r>
        <w:rPr>
          <w:rFonts w:ascii="Calibri" w:cs="Calibri" w:eastAsia="Calibri" w:hAnsi="Calibri"/>
          <w:sz w:val="21"/>
          <w:szCs w:val="21"/>
        </w:rPr>
        <w:t xml:space="preserve">Identify, from your own knowledge or by researching Sale of Goods Act, 1930 provisions, TWO express or implied terms in your scenario, classify EACH as a Condition or a Warranty, and justify each classification by explaining what would happen if that specific term were breached (repudiation right vs. damages-only right).</w:t>
      </w:r>
    </w:p>
    <w:p>
      <w:pPr>
        <w:pStyle w:val="ListParagraph"/>
        <w:numPr>
          <w:ilvl w:val="0"/>
          <w:numId w:val="9"/>
        </w:numPr>
        <w:spacing w:after="160"/>
      </w:pPr>
      <w:r>
        <w:rPr>
          <w:rFonts w:ascii="Calibri" w:cs="Calibri" w:eastAsia="Calibri" w:hAnsi="Calibri"/>
          <w:sz w:val="21"/>
          <w:szCs w:val="21"/>
        </w:rPr>
        <w:t xml:space="preserve">State, based on your scenario's specific delivery terms (for example, FOB, Ex-Works, or delivery-at-destination), at what point property (ownership) in the goods transfers from seller to buyer, and separately state at what point possession transfers — explicitly noting if these are NOT the same moment in your scenario, and what risk-of-loss consequence that gap creates.</w:t>
      </w:r>
    </w:p>
    <w:p>
      <w:pPr>
        <w:pStyle w:val="ListParagraph"/>
        <w:numPr>
          <w:ilvl w:val="0"/>
          <w:numId w:val="9"/>
        </w:numPr>
        <w:spacing w:after="160"/>
      </w:pPr>
      <w:r>
        <w:rPr>
          <w:rFonts w:ascii="Calibri" w:cs="Calibri" w:eastAsia="Calibri" w:hAnsi="Calibri"/>
          <w:sz w:val="21"/>
          <w:szCs w:val="21"/>
        </w:rPr>
        <w:t xml:space="preserve">Modify your scenario so that the buyer fails to pay on the agreed date, while the goods are (a) still in the seller's possession, then (b) in transit with a carrier, then (c) already delivered to and in the buyer's possession. For EACH of these three stages, state which specific Unpaid Seller's Right (lien, stoppage in transit, or resale) is available, and which is NOT available, with reasoning.</w:t>
      </w:r>
    </w:p>
    <w:p>
      <w:pPr>
        <w:pStyle w:val="ListParagraph"/>
        <w:numPr>
          <w:ilvl w:val="0"/>
          <w:numId w:val="9"/>
        </w:numPr>
        <w:spacing w:after="160"/>
      </w:pPr>
      <w:r>
        <w:rPr>
          <w:rFonts w:ascii="Calibri" w:cs="Calibri" w:eastAsia="Calibri" w:hAnsi="Calibri"/>
          <w:sz w:val="21"/>
          <w:szCs w:val="21"/>
        </w:rPr>
        <w:t xml:space="preserve">Design a short scenario illustrating an Auction Sale relevant to your goods category (or a plausible alternative), and state ONE specific rule of auction sales (for example, the auctioneer's right to bid on behalf of the seller only if reserved and announced, or that a sale is complete when the hammer falls) that would govern a dispute in this scenario.</w:t>
      </w:r>
    </w:p>
    <w:p>
      <w:pPr>
        <w:pStyle w:val="ListParagraph"/>
        <w:numPr>
          <w:ilvl w:val="0"/>
          <w:numId w:val="9"/>
        </w:numPr>
        <w:spacing w:after="160"/>
      </w:pPr>
      <w:r>
        <w:rPr>
          <w:rFonts w:ascii="Calibri" w:cs="Calibri" w:eastAsia="Calibri" w:hAnsi="Calibri"/>
          <w:sz w:val="21"/>
          <w:szCs w:val="21"/>
        </w:rPr>
        <w:t xml:space="preserve">Open Claude (claude.ai). Send this prompt: "Here is my Sale of Goods Act analysis: [paste your Steps 2-4]. Critique my Condition-versus-Warranty classifications specifically — is there a plausible argument that I have classified either term backwards, and if so, what would change about the buyer's or seller's remedy as a result?" Record Claude's critique and revise your classification if the critique is genuinely persuasive, explaining what changed.</w:t>
      </w:r>
    </w:p>
    <w:p>
      <w:pPr>
        <w:pStyle w:val="ListParagraph"/>
        <w:numPr>
          <w:ilvl w:val="0"/>
          <w:numId w:val="9"/>
        </w:numPr>
        <w:spacing w:after="160"/>
      </w:pPr>
      <w:r>
        <w:rPr>
          <w:rFonts w:ascii="Calibri" w:cs="Calibri" w:eastAsia="Calibri" w:hAnsi="Calibri"/>
          <w:sz w:val="21"/>
          <w:szCs w:val="21"/>
        </w:rPr>
        <w:t xml:space="preserve">Write a 300-word Sale of Goods Analysis combining your condition/warranty classifications (post-AI-review), your property-vs-possession transfer analysis, your unpaid seller's rights table across the three stages, and one practical recommendation for how the seller in your scenario could better protect itself in future contracts of this type.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Claude (Sonnet)</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Classification Critique</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Critiquing the Condition-versus-Warranty classification for potential misclassification</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claude.ai</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Scenario description, classifications, transfer analysis, unpaid seller's rights table, and Sale of Goods Analysis</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Correctly distinguish Conditions from Warranties in a real sale-of-goods scenario, with sound reasoning about the resulting remedy.</w:t>
      </w:r>
    </w:p>
    <w:p>
      <w:pPr>
        <w:pStyle w:val="ListParagraph"/>
        <w:numPr>
          <w:ilvl w:val="0"/>
          <w:numId w:val="2"/>
        </w:numPr>
        <w:spacing w:after="140"/>
      </w:pPr>
      <w:r>
        <w:rPr>
          <w:rFonts w:ascii="Calibri" w:cs="Calibri" w:eastAsia="Calibri" w:hAnsi="Calibri"/>
          <w:sz w:val="21"/>
          <w:szCs w:val="21"/>
        </w:rPr>
        <w:t xml:space="preserve">Correctly analyse when property and possession transfer in a sale transaction, and identify risk-of-loss consequences of any gap between them.</w:t>
      </w:r>
    </w:p>
    <w:p>
      <w:pPr>
        <w:pStyle w:val="ListParagraph"/>
        <w:numPr>
          <w:ilvl w:val="0"/>
          <w:numId w:val="2"/>
        </w:numPr>
        <w:spacing w:after="140"/>
      </w:pPr>
      <w:r>
        <w:rPr>
          <w:rFonts w:ascii="Calibri" w:cs="Calibri" w:eastAsia="Calibri" w:hAnsi="Calibri"/>
          <w:sz w:val="21"/>
          <w:szCs w:val="21"/>
        </w:rPr>
        <w:t xml:space="preserve">Correctly apply the Unpaid Seller's Rights (lien, stoppage in transit, resale) to the specific stage of a transaction where non-payment occurs.</w:t>
      </w:r>
    </w:p>
    <w:p>
      <w:pPr>
        <w:pStyle w:val="ListParagraph"/>
        <w:numPr>
          <w:ilvl w:val="0"/>
          <w:numId w:val="2"/>
        </w:numPr>
        <w:spacing w:after="140"/>
      </w:pPr>
      <w:r>
        <w:rPr>
          <w:rFonts w:ascii="Calibri" w:cs="Calibri" w:eastAsia="Calibri" w:hAnsi="Calibri"/>
          <w:sz w:val="21"/>
          <w:szCs w:val="21"/>
        </w:rPr>
        <w:t xml:space="preserve">Use AI to critique a legal classification and revise it with independent, reasoned judgement.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scenario description + condition/warranty classifications with reasoning + property/possession transfer analysis + three-stage unpaid seller's rights table + auction sale rule application.</w:t>
      </w:r>
    </w:p>
    <w:p>
      <w:pPr>
        <w:pStyle w:val="ListParagraph"/>
        <w:numPr>
          <w:ilvl w:val="0"/>
          <w:numId w:val="2"/>
        </w:numPr>
        <w:spacing w:after="140"/>
      </w:pPr>
      <w:r>
        <w:rPr>
          <w:rFonts w:ascii="Calibri" w:cs="Calibri" w:eastAsia="Calibri" w:hAnsi="Calibri"/>
          <w:sz w:val="21"/>
          <w:szCs w:val="21"/>
        </w:rPr>
        <w:t xml:space="preserve">(2) Claude's recorded critique + your revision notes.</w:t>
      </w:r>
    </w:p>
    <w:p>
      <w:pPr>
        <w:pStyle w:val="ListParagraph"/>
        <w:numPr>
          <w:ilvl w:val="0"/>
          <w:numId w:val="2"/>
        </w:numPr>
        <w:spacing w:after="140"/>
      </w:pPr>
      <w:r>
        <w:rPr>
          <w:rFonts w:ascii="Calibri" w:cs="Calibri" w:eastAsia="Calibri" w:hAnsi="Calibri"/>
          <w:sz w:val="21"/>
          <w:szCs w:val="21"/>
        </w:rPr>
        <w:t xml:space="preserve">(3) 300-word Sale of Goods Analysis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Condition/Warranty Classification &amp; Transfer Analysis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Both terms are correctly classified as Condition or Warranty with sound remedy-based reasoning; the property-vs-possession transfer analysis is correct and specifically identifies any gap and its risk-of-loss consequence for the stated delivery terms.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Classifications mostly correct with reasonable reasoning; transfer analysis reasonably correct.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One classification is incorrect or poorly reasoned; transfer analysis is generic or unclear.</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Classifications largely incorrect; transfer analysis absent or fundamentally wrong.</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Unpaid Seller's Rights &amp; Auction Sale Application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All three stages of the unpaid seller's rights analysis are correct, correctly distinguishing which right applies and which does not at each stage; the auction sale rule is correctly identified and applied to the constructed scenario.</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Most stages correctly analysed; auction rule reasonably applied.</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One or two stages are incorrect; auction rule application is generic.</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Unpaid seller's rights analysis largely incorrect; auction sale not addressed.</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Critique &amp; Sale of Goods Analysis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is recorded in full and genuinely engaged with (correcting a classification if warranted, with clear reasoning); the Analysis synthesises all elements into one specific, practical seller-protection recommendation.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and reasonably addressed; Analysis covers most required elements.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but not clearly engaged with; Analysis's recommendation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critique recorded, or Analysis absent/below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bl>
    <w:p>
      <w:pPr>
        <w:pStyle w:val="Heading2"/>
        <w:pageBreakBefore/>
        <w:spacing w:after="160"/>
      </w:pPr>
      <w:r>
        <w:rPr>
          <w:rFonts w:ascii="Calibri" w:cs="Calibri" w:eastAsia="Calibri" w:hAnsi="Calibri"/>
          <w:b/>
          <w:bCs/>
          <w:color w:val="162A4A"/>
        </w:rPr>
        <w:t xml:space="preserve">Activity 8: Cheque Dishonour &amp; Digital Payments — Section 138 Analysis and UPI Applicability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8</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Cheque Dishonour &amp; Digital Payments — Section 138 Analysis and UPI Applicability</w:t>
            </w:r>
          </w:p>
          <w:p>
            <w:pPr>
              <w:spacing w:after="0"/>
            </w:pPr>
            <w:r>
              <w:rPr>
                <w:rFonts w:ascii="Calibri" w:cs="Calibri" w:eastAsia="Calibri" w:hAnsi="Calibri"/>
                <w:i/>
                <w:iCs/>
                <w:color w:val="595959"/>
                <w:sz w:val="19"/>
                <w:szCs w:val="19"/>
              </w:rPr>
              <w:t xml:space="preserve">Unit 3 — Sale of Goods, Negotiable Instruments, and Business Entities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[RollNo]_LAW_Act08</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Section 138 of the Negotiable Instruments Act (cheque dishonour for insufficiency of funds) remains one of the most heavily litigated provisions of Indian commercial law, and correctly understanding its specific procedural requirements (notice period, timeline for filing a complaint, ingredients of the offence) is essential for any business that still deals with cheque-based payments.</w:t>
      </w:r>
    </w:p>
    <w:p>
      <w:pPr>
        <w:pStyle w:val="ListParagraph"/>
        <w:numPr>
          <w:ilvl w:val="0"/>
          <w:numId w:val="2"/>
        </w:numPr>
        <w:spacing w:after="140"/>
      </w:pPr>
      <w:r>
        <w:rPr>
          <w:rFonts w:ascii="Calibri" w:cs="Calibri" w:eastAsia="Calibri" w:hAnsi="Calibri"/>
          <w:sz w:val="21"/>
          <w:szCs w:val="21"/>
        </w:rPr>
        <w:t xml:space="preserve">Whether and how the NI Act's dishonour framework applies to UPI and other electronic payment failures is a genuinely live, evolving legal question — this activity requires you to research the CURRENT state of this question rather than assume the answer, since courts and commentators have taken varying positions.</w:t>
      </w:r>
    </w:p>
    <w:p>
      <w:pPr>
        <w:pStyle w:val="ListParagraph"/>
        <w:numPr>
          <w:ilvl w:val="0"/>
          <w:numId w:val="2"/>
        </w:numPr>
        <w:spacing w:after="140"/>
      </w:pPr>
      <w:r>
        <w:rPr>
          <w:rFonts w:ascii="Calibri" w:cs="Calibri" w:eastAsia="Calibri" w:hAnsi="Calibri"/>
          <w:sz w:val="21"/>
          <w:szCs w:val="21"/>
        </w:rPr>
        <w:t xml:space="preserve">Distinguishing a Promissory Note, a Bill of Exchange, and a Cheque, and correctly identifying who qualifies as a Holder in Due Course (and what special protection that status confers), is foundational literacy for any finance, treasury, or trade-finance-adjacent role.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10"/>
        </w:numPr>
        <w:spacing w:after="160"/>
      </w:pPr>
      <w:r>
        <w:rPr>
          <w:rFonts w:ascii="Calibri" w:cs="Calibri" w:eastAsia="Calibri" w:hAnsi="Calibri"/>
          <w:sz w:val="21"/>
          <w:szCs w:val="21"/>
        </w:rPr>
        <w:t xml:space="preserve">In a Word document, define in your own words the three types of negotiable instruments (Promissory Note, Bill of Exchange, Cheque), stating the key structural difference between them (for example, a Bill of Exchange typically involves three parties — drawer, drawee, payee — while a Promissory Note involves only the maker and payee).</w:t>
      </w:r>
    </w:p>
    <w:p>
      <w:pPr>
        <w:pStyle w:val="ListParagraph"/>
        <w:numPr>
          <w:ilvl w:val="0"/>
          <w:numId w:val="10"/>
        </w:numPr>
        <w:spacing w:after="160"/>
      </w:pPr>
      <w:r>
        <w:rPr>
          <w:rFonts w:ascii="Calibri" w:cs="Calibri" w:eastAsia="Calibri" w:hAnsi="Calibri"/>
          <w:sz w:val="21"/>
          <w:szCs w:val="21"/>
        </w:rPr>
        <w:t xml:space="preserve">Design a realistic Section 138 scenario: a supplier delivers goods to a buyer who pays via a post-dated cheque; the cheque is dishonoured on presentation due to insufficient funds. State the specific facts (amount, dates) in 100 words.</w:t>
      </w:r>
    </w:p>
    <w:p>
      <w:pPr>
        <w:pStyle w:val="ListParagraph"/>
        <w:numPr>
          <w:ilvl w:val="0"/>
          <w:numId w:val="10"/>
        </w:numPr>
        <w:spacing w:after="160"/>
      </w:pPr>
      <w:r>
        <w:rPr>
          <w:rFonts w:ascii="Calibri" w:cs="Calibri" w:eastAsia="Calibri" w:hAnsi="Calibri"/>
          <w:sz w:val="21"/>
          <w:szCs w:val="21"/>
        </w:rPr>
        <w:t xml:space="preserve">Research (using Perplexity AI or the bare text of the NI Act) and state the SPECIFIC procedural steps and timelines required under Section 138 for the payee to have a valid cause of action — the notice period after dishonour, the cheque-issuer's window to pay after notice, and the time limit for filing a criminal complaint if payment is not made. Apply these specific timelines to your Step 2 scenario, stating the actual calendar-relevant deadlines.</w:t>
      </w:r>
    </w:p>
    <w:p>
      <w:pPr>
        <w:pStyle w:val="ListParagraph"/>
        <w:numPr>
          <w:ilvl w:val="0"/>
          <w:numId w:val="10"/>
        </w:numPr>
        <w:spacing w:after="160"/>
      </w:pPr>
      <w:r>
        <w:rPr>
          <w:rFonts w:ascii="Calibri" w:cs="Calibri" w:eastAsia="Calibri" w:hAnsi="Calibri"/>
          <w:sz w:val="21"/>
          <w:szCs w:val="21"/>
        </w:rPr>
        <w:t xml:space="preserve">Explain the concept of Holder in Due Course, and state, in your Step 2 scenario, whether the original payee (the supplier) would qualify as a Holder in Due Course, and what would change if the supplier had instead endorsed and transferred the cheque to a third party before it was dishonoured.</w:t>
      </w:r>
    </w:p>
    <w:p>
      <w:pPr>
        <w:pStyle w:val="ListParagraph"/>
        <w:numPr>
          <w:ilvl w:val="0"/>
          <w:numId w:val="10"/>
        </w:numPr>
        <w:spacing w:after="160"/>
      </w:pPr>
      <w:r>
        <w:rPr>
          <w:rFonts w:ascii="Calibri" w:cs="Calibri" w:eastAsia="Calibri" w:hAnsi="Calibri"/>
          <w:sz w:val="21"/>
          <w:szCs w:val="21"/>
        </w:rPr>
        <w:t xml:space="preserve">Research the current legal position (as of your research date) on whether and how Section 138-equivalent liability, or an alternative legal remedy, applies to a failed or fraudulently reversed UPI transaction, since UPI payments are not cheques and do not fit the NI Act's definition of a negotiable instrument in the same way. Use Perplexity AI (perplexity.ai) to search "Section 138 NI Act applicability UPI digital payment dishonour India" and record what you find, including any genuine uncertainty or split in commentary/case law you discover — do not force a false certainty where the law is genuinely still developing.</w:t>
      </w:r>
    </w:p>
    <w:p>
      <w:pPr>
        <w:pStyle w:val="ListParagraph"/>
        <w:numPr>
          <w:ilvl w:val="0"/>
          <w:numId w:val="10"/>
        </w:numPr>
        <w:spacing w:after="160"/>
      </w:pPr>
      <w:r>
        <w:rPr>
          <w:rFonts w:ascii="Calibri" w:cs="Calibri" w:eastAsia="Calibri" w:hAnsi="Calibri"/>
          <w:sz w:val="21"/>
          <w:szCs w:val="21"/>
        </w:rPr>
        <w:t xml:space="preserve">Open ChatGPT (chat.openai.com). Send this prompt: "Here is my Section 138 analysis for a cheque-dishonour scenario: [paste your Steps 3-4]. Here is my research on UPI applicability: [paste your Step 5 findings]. Critique whether I have correctly applied the specific statutory timelines, and tell me plainly if my UPI conclusion is overstated relative to what the actual law currently supports." Record ChatGPT's response and revise your UPI conclusion if it is genuinely more confident than the evidence supports.</w:t>
      </w:r>
    </w:p>
    <w:p>
      <w:pPr>
        <w:pStyle w:val="ListParagraph"/>
        <w:numPr>
          <w:ilvl w:val="0"/>
          <w:numId w:val="10"/>
        </w:numPr>
        <w:spacing w:after="160"/>
      </w:pPr>
      <w:r>
        <w:rPr>
          <w:rFonts w:ascii="Calibri" w:cs="Calibri" w:eastAsia="Calibri" w:hAnsi="Calibri"/>
          <w:sz w:val="21"/>
          <w:szCs w:val="21"/>
        </w:rPr>
        <w:t xml:space="preserve">Write a 300-word Negotiable Instruments &amp; Digital Payments Brief combining your instrument-type definitions, your Section 138 timeline analysis, your Holder in Due Course analysis, and your (AI-checked, appropriately hedged) UPI applicability conclusion, ending with one practical recommendation for a business deciding between cheque and UPI payment terms with a new customer.</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Perplexity AI</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Legal Research</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Researching Section 138 NI Act timelines and current UPI applicability commentary</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perplexity.ai</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ChatGPT (GPT-4o / GPT-5)</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Analysis Critique</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Checking the Section 138 timeline application and the confidence level of the UPI conclusion</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chat.openai.com</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Instrument definitions, Section 138 analysis, Holder in Due Course analysis, and Negotiable Instruments Brief</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Correctly distinguish Promissory Notes, Bills of Exchange, and Cheques by their structural features.</w:t>
      </w:r>
    </w:p>
    <w:p>
      <w:pPr>
        <w:pStyle w:val="ListParagraph"/>
        <w:numPr>
          <w:ilvl w:val="0"/>
          <w:numId w:val="2"/>
        </w:numPr>
        <w:spacing w:after="140"/>
      </w:pPr>
      <w:r>
        <w:rPr>
          <w:rFonts w:ascii="Calibri" w:cs="Calibri" w:eastAsia="Calibri" w:hAnsi="Calibri"/>
          <w:sz w:val="21"/>
          <w:szCs w:val="21"/>
        </w:rPr>
        <w:t xml:space="preserve">Correctly apply Section 138's specific procedural timelines (notice period, payment window, complaint deadline) to a real fact pattern.</w:t>
      </w:r>
    </w:p>
    <w:p>
      <w:pPr>
        <w:pStyle w:val="ListParagraph"/>
        <w:numPr>
          <w:ilvl w:val="0"/>
          <w:numId w:val="2"/>
        </w:numPr>
        <w:spacing w:after="140"/>
      </w:pPr>
      <w:r>
        <w:rPr>
          <w:rFonts w:ascii="Calibri" w:cs="Calibri" w:eastAsia="Calibri" w:hAnsi="Calibri"/>
          <w:sz w:val="21"/>
          <w:szCs w:val="21"/>
        </w:rPr>
        <w:t xml:space="preserve">Correctly analyse Holder in Due Course status and how it changes with instrument transfer.</w:t>
      </w:r>
    </w:p>
    <w:p>
      <w:pPr>
        <w:pStyle w:val="ListParagraph"/>
        <w:numPr>
          <w:ilvl w:val="0"/>
          <w:numId w:val="2"/>
        </w:numPr>
        <w:spacing w:after="140"/>
      </w:pPr>
      <w:r>
        <w:rPr>
          <w:rFonts w:ascii="Calibri" w:cs="Calibri" w:eastAsia="Calibri" w:hAnsi="Calibri"/>
          <w:sz w:val="21"/>
          <w:szCs w:val="21"/>
        </w:rPr>
        <w:t xml:space="preserve">Research a genuinely evolving legal question (NI Act/UPI applicability) and report findings with appropriate, evidence-calibrated confidence rather than false certainty.</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instrument-type definitions + Section 138 scenario with timeline analysis + Holder in Due Course analysis + UPI applicability research findings.</w:t>
      </w:r>
    </w:p>
    <w:p>
      <w:pPr>
        <w:pStyle w:val="ListParagraph"/>
        <w:numPr>
          <w:ilvl w:val="0"/>
          <w:numId w:val="2"/>
        </w:numPr>
        <w:spacing w:after="140"/>
      </w:pPr>
      <w:r>
        <w:rPr>
          <w:rFonts w:ascii="Calibri" w:cs="Calibri" w:eastAsia="Calibri" w:hAnsi="Calibri"/>
          <w:sz w:val="21"/>
          <w:szCs w:val="21"/>
        </w:rPr>
        <w:t xml:space="preserve">(2) ChatGPT's recorded critique + your revised (appropriately hedged) UPI conclusion.</w:t>
      </w:r>
    </w:p>
    <w:p>
      <w:pPr>
        <w:pStyle w:val="ListParagraph"/>
        <w:numPr>
          <w:ilvl w:val="0"/>
          <w:numId w:val="2"/>
        </w:numPr>
        <w:spacing w:after="140"/>
      </w:pPr>
      <w:r>
        <w:rPr>
          <w:rFonts w:ascii="Calibri" w:cs="Calibri" w:eastAsia="Calibri" w:hAnsi="Calibri"/>
          <w:sz w:val="21"/>
          <w:szCs w:val="21"/>
        </w:rPr>
        <w:t xml:space="preserve">(3) 300-word Negotiable Instruments &amp; Digital Payments Brief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Instrument Definitions &amp; Section 138 Timeline Analysis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All three instrument types are correctly and precisely distinguished; the Section 138 timeline analysis correctly states and applies the specific notice period, payment window, and complaint deadline to the scenario's actual dates.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Definitions mostly correct; timeline analysis correct with minor imprecision.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One instrument type is misdescribed, or timeline analysis has a specific error.</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Definitions largely incorrect, or Section 138 timelines not correctly researched/applied.</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Holder in Due Course Analysis</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Holder in Due Course concept is correctly explained and correctly applied to both the original-payee and third-party-transferee versions of the scenario.</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Concept correctly explained; application reasonably correct.</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Concept explained with some inaccuracy, or application is unclear.</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Concept incorrect or not applied to the scenario.</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25%</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UPI Research Calibration &amp; Digital Payments Brief</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UPI applicability research is genuine, sourced, and reports the actual state of legal uncertainty rather than forcing false confidence; ChatGPT's critique is recorded in full and the final conclusion is appropriately calibrated to the evidence; the Brief ends with a specific, practical recommendation.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UPI research reasonably sourced; critique recorded and conclusion reasonably calibrated.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UPI research is thin or overstated; critique not clearly used to recalibrate the conclusion.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genuine UPI research conducted, or conclusion remains overconfident despite the AI critique.</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bl>
    <w:p>
      <w:pPr>
        <w:pStyle w:val="Heading2"/>
        <w:pageBreakBefore/>
        <w:spacing w:after="160"/>
      </w:pPr>
      <w:r>
        <w:rPr>
          <w:rFonts w:ascii="Calibri" w:cs="Calibri" w:eastAsia="Calibri" w:hAnsi="Calibri"/>
          <w:b/>
          <w:bCs/>
          <w:color w:val="162A4A"/>
        </w:rPr>
        <w:t xml:space="preserve">Activity 9: Choice of Business Entity — A Comparative Legal Framework for a Real Startup Idea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9</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Choice of Business Entity — A Comparative Legal Framework for a Real Startup Idea</w:t>
            </w:r>
          </w:p>
          <w:p>
            <w:pPr>
              <w:spacing w:after="0"/>
            </w:pPr>
            <w:r>
              <w:rPr>
                <w:rFonts w:ascii="Calibri" w:cs="Calibri" w:eastAsia="Calibri" w:hAnsi="Calibri"/>
                <w:i/>
                <w:iCs/>
                <w:color w:val="595959"/>
                <w:sz w:val="19"/>
                <w:szCs w:val="19"/>
              </w:rPr>
              <w:t xml:space="preserve">Unit 3 — Sale of Goods, Negotiable Instruments, and Business Entities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[RollNo]_LAW_Act09</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This activity directly builds preparation for the Company Incorporation Simulation Live Assignment prescribed for this course — before you can usefully map the MCA21 SPICe+ incorporation process, you need a sound, comparative understanding of WHICH entity type actually fits a given business's liability, compliance, and fundraising needs.</w:t>
      </w:r>
    </w:p>
    <w:p>
      <w:pPr>
        <w:pStyle w:val="ListParagraph"/>
        <w:numPr>
          <w:ilvl w:val="0"/>
          <w:numId w:val="2"/>
        </w:numPr>
        <w:spacing w:after="140"/>
      </w:pPr>
      <w:r>
        <w:rPr>
          <w:rFonts w:ascii="Calibri" w:cs="Calibri" w:eastAsia="Calibri" w:hAnsi="Calibri"/>
          <w:sz w:val="21"/>
          <w:szCs w:val="21"/>
        </w:rPr>
        <w:t xml:space="preserve">Sole Proprietorship, Partnership, LLP, One Person Company, and Private Limited Company differ materially in liability protection, compliance burden, taxation, and ability to raise external capital — and choosing the wrong one is a common, expensive mistake that is hard to unwind later.</w:t>
      </w:r>
    </w:p>
    <w:p>
      <w:pPr>
        <w:pStyle w:val="ListParagraph"/>
        <w:numPr>
          <w:ilvl w:val="0"/>
          <w:numId w:val="2"/>
        </w:numPr>
        <w:spacing w:after="140"/>
      </w:pPr>
      <w:r>
        <w:rPr>
          <w:rFonts w:ascii="Calibri" w:cs="Calibri" w:eastAsia="Calibri" w:hAnsi="Calibri"/>
          <w:sz w:val="21"/>
          <w:szCs w:val="21"/>
        </w:rPr>
        <w:t xml:space="preserve">This activity connects directly back to your Activity 2 due diligence work — carrying forward the same startup idea and refining your preliminary entity recommendation into a fully justified, comparative decision is exactly how a real founder or advisor would work.</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11"/>
        </w:numPr>
        <w:spacing w:after="160"/>
      </w:pPr>
      <w:r>
        <w:rPr>
          <w:rFonts w:ascii="Calibri" w:cs="Calibri" w:eastAsia="Calibri" w:hAnsi="Calibri"/>
          <w:sz w:val="21"/>
          <w:szCs w:val="21"/>
        </w:rPr>
        <w:t xml:space="preserve">Using the SAME startup idea from Activity 2 (or a new one if you prefer, clearly restated), build a comparison table with rows for Sole Proprietorship, Partnership (under the Indian Partnership Act, 1932), LLP (under the LLP Act, 2008), One Person Company (OPC), and Private Limited Company, and columns for: Liability Protection (unlimited vs. limited), Minimum Compliance Burden (annual filings, audit requirements), Ability to Raise External Equity Funding, Taxation Treatment (at a conceptual level), and Ease/Cost of Formation.</w:t>
      </w:r>
    </w:p>
    <w:p>
      <w:pPr>
        <w:pStyle w:val="ListParagraph"/>
        <w:numPr>
          <w:ilvl w:val="0"/>
          <w:numId w:val="11"/>
        </w:numPr>
        <w:spacing w:after="160"/>
      </w:pPr>
      <w:r>
        <w:rPr>
          <w:rFonts w:ascii="Calibri" w:cs="Calibri" w:eastAsia="Calibri" w:hAnsi="Calibri"/>
          <w:sz w:val="21"/>
          <w:szCs w:val="21"/>
        </w:rPr>
        <w:t xml:space="preserve">For EACH entity type, state one sentence on why it would be a GOOD fit and one sentence on why it would be a POOR fit specifically for your chosen startup's business model, funding plans, and founder structure (solo founder vs. co-founders) — do not give generic pros/cons; ground every point in your specific business.</w:t>
      </w:r>
    </w:p>
    <w:p>
      <w:pPr>
        <w:pStyle w:val="ListParagraph"/>
        <w:numPr>
          <w:ilvl w:val="0"/>
          <w:numId w:val="11"/>
        </w:numPr>
        <w:spacing w:after="160"/>
      </w:pPr>
      <w:r>
        <w:rPr>
          <w:rFonts w:ascii="Calibri" w:cs="Calibri" w:eastAsia="Calibri" w:hAnsi="Calibri"/>
          <w:sz w:val="21"/>
          <w:szCs w:val="21"/>
        </w:rPr>
        <w:t xml:space="preserve">Make a final, defended recommendation for ONE entity type, with a one-paragraph argument citing the SPECIFIC factors from your table that were decisive for your business (for example, if you plan to raise venture capital within 18 months, explain why this makes Private Limited Company close to mandatory despite its higher compliance burden).</w:t>
      </w:r>
    </w:p>
    <w:p>
      <w:pPr>
        <w:pStyle w:val="ListParagraph"/>
        <w:numPr>
          <w:ilvl w:val="0"/>
          <w:numId w:val="11"/>
        </w:numPr>
        <w:spacing w:after="160"/>
      </w:pPr>
      <w:r>
        <w:rPr>
          <w:rFonts w:ascii="Calibri" w:cs="Calibri" w:eastAsia="Calibri" w:hAnsi="Calibri"/>
          <w:sz w:val="21"/>
          <w:szCs w:val="21"/>
        </w:rPr>
        <w:t xml:space="preserve">Visit the MCA21 portal (mca.gov.in) and locate the SPICe+ (Simplified Proforma for Incorporating Company Electronically Plus) incorporation process page. In 200 words, map the KEY steps and documents required to incorporate your recommended entity type (or, if you recommended LLP, note how the process differs from company incorporation), noting any specific forms, name-reservation steps, or digital signature requirements you find.</w:t>
      </w:r>
    </w:p>
    <w:p>
      <w:pPr>
        <w:pStyle w:val="ListParagraph"/>
        <w:numPr>
          <w:ilvl w:val="0"/>
          <w:numId w:val="11"/>
        </w:numPr>
        <w:spacing w:after="160"/>
      </w:pPr>
      <w:r>
        <w:rPr>
          <w:rFonts w:ascii="Calibri" w:cs="Calibri" w:eastAsia="Calibri" w:hAnsi="Calibri"/>
          <w:sz w:val="21"/>
          <w:szCs w:val="21"/>
        </w:rPr>
        <w:t xml:space="preserve">Open Claude (claude.ai). Send this prompt: "I have recommended [entity type] for [describe startup] based on: [paste your Step 3 reasoning]. Play devil's advocate: argue for the SECOND-best entity type from my comparison table, using the specific factors from my own table that would support that alternative." Record Claude's counter-argument.</w:t>
      </w:r>
    </w:p>
    <w:p>
      <w:pPr>
        <w:pStyle w:val="ListParagraph"/>
        <w:numPr>
          <w:ilvl w:val="0"/>
          <w:numId w:val="11"/>
        </w:numPr>
        <w:spacing w:after="160"/>
      </w:pPr>
      <w:r>
        <w:rPr>
          <w:rFonts w:ascii="Calibri" w:cs="Calibri" w:eastAsia="Calibri" w:hAnsi="Calibri"/>
          <w:sz w:val="21"/>
          <w:szCs w:val="21"/>
        </w:rPr>
        <w:t xml:space="preserve">Write a 150-word rebuttal directly addressing Claude's specific counter-argument, defending your original recommendation or explicitly revising it if the counter-argument is genuinely more persuasive for your specific business facts.</w:t>
      </w:r>
    </w:p>
    <w:p>
      <w:pPr>
        <w:pStyle w:val="ListParagraph"/>
        <w:numPr>
          <w:ilvl w:val="0"/>
          <w:numId w:val="11"/>
        </w:numPr>
        <w:spacing w:after="160"/>
      </w:pPr>
      <w:r>
        <w:rPr>
          <w:rFonts w:ascii="Calibri" w:cs="Calibri" w:eastAsia="Calibri" w:hAnsi="Calibri"/>
          <w:sz w:val="21"/>
          <w:szCs w:val="21"/>
        </w:rPr>
        <w:t xml:space="preserve">Write a 350-word Business Entity Choice Report combining your comparison table, your good-fit/poor-fit analysis for each entity, your defended final recommendation and AI-tested rebuttal, and your SPICe+ process summary, ending with one realistic estimate of the total time you would expect incorporation to take for your recommended entity.</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MCA21 Portal (SPICe+)</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Regulatory Portal</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Mapping the actual company/LLP incorporation process and documentation requirements</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mca.gov.in</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Claude (Sonnet)</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Devil's Advocate</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Stress-testing the final entity recommendation with the second-best alternative</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claude.ai</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 / Excel</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Entity comparison table, good-fit/poor-fit analysis, and Business Entity Choice Report</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Build a correct, comprehensive comparison of five Indian business-entity types across liability, compliance, funding, taxation, and formation dimensions.</w:t>
      </w:r>
    </w:p>
    <w:p>
      <w:pPr>
        <w:pStyle w:val="ListParagraph"/>
        <w:numPr>
          <w:ilvl w:val="0"/>
          <w:numId w:val="2"/>
        </w:numPr>
        <w:spacing w:after="140"/>
      </w:pPr>
      <w:r>
        <w:rPr>
          <w:rFonts w:ascii="Calibri" w:cs="Calibri" w:eastAsia="Calibri" w:hAnsi="Calibri"/>
          <w:sz w:val="21"/>
          <w:szCs w:val="21"/>
        </w:rPr>
        <w:t xml:space="preserve">Apply the comparison to a specific real business to identify genuine (not generic) fit and misfit factors for each entity type.</w:t>
      </w:r>
    </w:p>
    <w:p>
      <w:pPr>
        <w:pStyle w:val="ListParagraph"/>
        <w:numPr>
          <w:ilvl w:val="0"/>
          <w:numId w:val="2"/>
        </w:numPr>
        <w:spacing w:after="140"/>
      </w:pPr>
      <w:r>
        <w:rPr>
          <w:rFonts w:ascii="Calibri" w:cs="Calibri" w:eastAsia="Calibri" w:hAnsi="Calibri"/>
          <w:sz w:val="21"/>
          <w:szCs w:val="21"/>
        </w:rPr>
        <w:t xml:space="preserve">Navigate the MCA21 SPICe+ portal to map the real incorporation process and documentation requirements.</w:t>
      </w:r>
    </w:p>
    <w:p>
      <w:pPr>
        <w:pStyle w:val="ListParagraph"/>
        <w:numPr>
          <w:ilvl w:val="0"/>
          <w:numId w:val="2"/>
        </w:numPr>
        <w:spacing w:after="140"/>
      </w:pPr>
      <w:r>
        <w:rPr>
          <w:rFonts w:ascii="Calibri" w:cs="Calibri" w:eastAsia="Calibri" w:hAnsi="Calibri"/>
          <w:sz w:val="21"/>
          <w:szCs w:val="21"/>
        </w:rPr>
        <w:t xml:space="preserve">Use AI as a devil's advocate to stress-test an entity-choice recommendation and produce a more defensible final decision.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Word/Excel document — five-entity comparison table + good-fit/poor-fit analysis for each entity + defended final recommendation.</w:t>
      </w:r>
    </w:p>
    <w:p>
      <w:pPr>
        <w:pStyle w:val="ListParagraph"/>
        <w:numPr>
          <w:ilvl w:val="0"/>
          <w:numId w:val="2"/>
        </w:numPr>
        <w:spacing w:after="140"/>
      </w:pPr>
      <w:r>
        <w:rPr>
          <w:rFonts w:ascii="Calibri" w:cs="Calibri" w:eastAsia="Calibri" w:hAnsi="Calibri"/>
          <w:sz w:val="21"/>
          <w:szCs w:val="21"/>
        </w:rPr>
        <w:t xml:space="preserve">(2) MCA21 SPICe+ process summary (200 words).</w:t>
      </w:r>
    </w:p>
    <w:p>
      <w:pPr>
        <w:pStyle w:val="ListParagraph"/>
        <w:numPr>
          <w:ilvl w:val="0"/>
          <w:numId w:val="2"/>
        </w:numPr>
        <w:spacing w:after="140"/>
      </w:pPr>
      <w:r>
        <w:rPr>
          <w:rFonts w:ascii="Calibri" w:cs="Calibri" w:eastAsia="Calibri" w:hAnsi="Calibri"/>
          <w:sz w:val="21"/>
          <w:szCs w:val="21"/>
        </w:rPr>
        <w:t xml:space="preserve">(3) Claude's recorded counter-argument + your 150-word rebuttal.</w:t>
      </w:r>
    </w:p>
    <w:p>
      <w:pPr>
        <w:pStyle w:val="ListParagraph"/>
        <w:numPr>
          <w:ilvl w:val="0"/>
          <w:numId w:val="2"/>
        </w:numPr>
        <w:spacing w:after="140"/>
      </w:pPr>
      <w:r>
        <w:rPr>
          <w:rFonts w:ascii="Calibri" w:cs="Calibri" w:eastAsia="Calibri" w:hAnsi="Calibri"/>
          <w:sz w:val="21"/>
          <w:szCs w:val="21"/>
        </w:rPr>
        <w:t xml:space="preserve">(4) 350-word Business Entity Choice Report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Entity Comparison &amp; Business-Specific Fit Analysis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five-entity comparison table is accurate across all five dimensions; the good-fit/poor-fit analysis for each entity is genuinely specific to the chosen startup's actual business model and founder structure, not generic textbook pros/cons.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Comparison table accurate; fit analysis reasonably specific for most entities.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Comparison table has minor inaccuracies; fit analysis is generic in places.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Comparison table largely inaccurate; fit analysis not connected to the specific business.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Final Recommendation, AI-Tested Rebuttal &amp; SPICe+ Mapping</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final recommendation is well-defended with specific decisive factors; Claude's counter-argument is recorded in full and the rebuttal substantively engages with the specific alternative; the SPICe+ process mapping is accurate and reflects genuine portal navigation.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Recommendation reasonably defended; rebuttal engages adequately; SPICe+ mapping reasonably accurate.</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Recommendation lacks clear decisive factors; rebuttal restates original position; SPICe+ mapping is generic or clearly not from genuine portal navigation.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clear recommendation, no AI counter-argument recorded, or SPICe+ mapping absent.</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Business Entity Choice Report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Report is coherent, synthesises all elements, and ends with a realistic, well-reasoned incorporation timeline estimate.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Report covers most required elements with a reasonable timeline estimate.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Report is generic or the timeline estimate is unsupported.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Report absent or 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25%</w:t>
            </w:r>
          </w:p>
        </w:tc>
      </w:tr>
    </w:tbl>
    <w:p>
      <w:pPr>
        <w:pStyle w:val="Heading1"/>
        <w:pageBreakBefore/>
        <w:spacing w:after="120"/>
      </w:pPr>
      <w:r>
        <w:rPr>
          <w:rFonts w:ascii="Calibri" w:cs="Calibri" w:eastAsia="Calibri" w:hAnsi="Calibri"/>
          <w:b/>
          <w:bCs/>
          <w:color w:val="162A4A"/>
        </w:rPr>
        <w:t xml:space="preserve">Unit 4 — Corporate Law, Governance and Competition Law</w:t>
      </w:r>
    </w:p>
    <w:p>
      <w:pPr>
        <w:spacing w:after="260"/>
      </w:pPr>
      <w:r>
        <w:rPr>
          <w:rFonts w:ascii="Calibri" w:cs="Calibri" w:eastAsia="Calibri" w:hAnsi="Calibri"/>
          <w:i/>
          <w:iCs/>
          <w:color w:val="595959"/>
          <w:sz w:val="21"/>
          <w:szCs w:val="21"/>
        </w:rPr>
        <w:t xml:space="preserve">Activities 10, 11, and 12 build corporate-law and regulatory-compliance judgement — dissecting the Satyam governance failure and its Tech Mahindra rescue acquisition, health-checking a real listed Indian company's governance framework, and analysing a real Competition Commission of India order on a digital platform.</w:t>
      </w:r>
    </w:p>
    <w:p>
      <w:pPr>
        <w:pStyle w:val="Heading2"/>
        <w:pageBreakBefore/>
        <w:spacing w:after="160"/>
      </w:pPr>
      <w:r>
        <w:rPr>
          <w:rFonts w:ascii="Calibri" w:cs="Calibri" w:eastAsia="Calibri" w:hAnsi="Calibri"/>
          <w:b/>
          <w:bCs/>
          <w:color w:val="162A4A"/>
        </w:rPr>
        <w:t xml:space="preserve">Activity 10: Satyam Corporate Governance Failure &amp; Tech Mahindra Acquisition Case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10</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Satyam Corporate Governance Failure &amp; Tech Mahindra Acquisition Case Lab</w:t>
            </w:r>
          </w:p>
          <w:p>
            <w:pPr>
              <w:spacing w:after="0"/>
            </w:pPr>
            <w:r>
              <w:rPr>
                <w:rFonts w:ascii="Calibri" w:cs="Calibri" w:eastAsia="Calibri" w:hAnsi="Calibri"/>
                <w:i/>
                <w:iCs/>
                <w:color w:val="595959"/>
                <w:sz w:val="19"/>
                <w:szCs w:val="19"/>
              </w:rPr>
              <w:t xml:space="preserve">Unit 4 — Corporate Law, Governance and Competition Law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[RollNo]_LAW_Act10</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This activity directly builds Assessment 3 (Case Analysis) prescribed for this course, and the Satyam scandal remains India's most significant corporate governance failure — understanding SPECIFICALLY where the board, independent directors, and auditors failed (not just that fraud occurred) is essential for anyone who will serve on or advise a board.</w:t>
      </w:r>
    </w:p>
    <w:p>
      <w:pPr>
        <w:pStyle w:val="ListParagraph"/>
        <w:numPr>
          <w:ilvl w:val="0"/>
          <w:numId w:val="2"/>
        </w:numPr>
        <w:spacing w:after="140"/>
      </w:pPr>
      <w:r>
        <w:rPr>
          <w:rFonts w:ascii="Calibri" w:cs="Calibri" w:eastAsia="Calibri" w:hAnsi="Calibri"/>
          <w:sz w:val="21"/>
          <w:szCs w:val="21"/>
        </w:rPr>
        <w:t xml:space="preserve">The Tech Mahindra acquisition of Satyam is an unusually clean real-world example of M&amp;A due diligence and regulatory intervention under conditions of maximum uncertainty (a fraud-tainted target, minimal reliable financial information, government-appointed board) — a scenario very different from a routine, clean acquisition.</w:t>
      </w:r>
    </w:p>
    <w:p>
      <w:pPr>
        <w:pStyle w:val="ListParagraph"/>
        <w:numPr>
          <w:ilvl w:val="0"/>
          <w:numId w:val="2"/>
        </w:numPr>
        <w:spacing w:after="140"/>
      </w:pPr>
      <w:r>
        <w:rPr>
          <w:rFonts w:ascii="Calibri" w:cs="Calibri" w:eastAsia="Calibri" w:hAnsi="Calibri"/>
          <w:sz w:val="21"/>
          <w:szCs w:val="21"/>
        </w:rPr>
        <w:t xml:space="preserve">Connecting the governance failure to SPECIFIC provisions a manager would now rely on (independent directors' duties, related-party-transaction scrutiny, whistle-blower mechanisms) makes this a practically useful case, not just a historical narrative.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12"/>
        </w:numPr>
        <w:spacing w:after="160"/>
      </w:pPr>
      <w:r>
        <w:rPr>
          <w:rFonts w:ascii="Calibri" w:cs="Calibri" w:eastAsia="Calibri" w:hAnsi="Calibri"/>
          <w:sz w:val="21"/>
          <w:szCs w:val="21"/>
        </w:rPr>
        <w:t xml:space="preserve">Read the Corporate Governance Failure at Satyam case (Asia Case Research Centre / HKU889, hbsp.harvard.edu/product/HKU889-PDF-ENG) in full. In a Word document, write a 250-word summary of HOW the fraud was perpetrated (the fictitious cash and revenue overstatement) and HOW it was eventually revealed.</w:t>
      </w:r>
    </w:p>
    <w:p>
      <w:pPr>
        <w:pStyle w:val="ListParagraph"/>
        <w:numPr>
          <w:ilvl w:val="0"/>
          <w:numId w:val="12"/>
        </w:numPr>
        <w:spacing w:after="160"/>
      </w:pPr>
      <w:r>
        <w:rPr>
          <w:rFonts w:ascii="Calibri" w:cs="Calibri" w:eastAsia="Calibri" w:hAnsi="Calibri"/>
          <w:sz w:val="21"/>
          <w:szCs w:val="21"/>
        </w:rPr>
        <w:t xml:space="preserve">Analyse SPECIFICALLY where corporate governance mechanisms failed: state one specific failure attributable to the Board's oversight role, one specific failure attributable to the Independent Directors (who were present on Satyam's board), and one specific failure attributable to the External Auditors, citing specific case evidence for each.</w:t>
      </w:r>
    </w:p>
    <w:p>
      <w:pPr>
        <w:pStyle w:val="ListParagraph"/>
        <w:numPr>
          <w:ilvl w:val="0"/>
          <w:numId w:val="12"/>
        </w:numPr>
        <w:spacing w:after="160"/>
      </w:pPr>
      <w:r>
        <w:rPr>
          <w:rFonts w:ascii="Calibri" w:cs="Calibri" w:eastAsia="Calibri" w:hAnsi="Calibri"/>
          <w:sz w:val="21"/>
          <w:szCs w:val="21"/>
        </w:rPr>
        <w:t xml:space="preserve">State what SPECIFIC governance safeguards — under today's Companies Act, 2013 and SEBI (LODR) Regulations framework (independent director independence criteria, related-party-transaction approval requirements, whistle-blower/vigil mechanisms, or CSR-committee-style oversight structures) — would today make a fraud of this specific type harder to sustain, explaining the mechanism for each safeguard you cite.</w:t>
      </w:r>
    </w:p>
    <w:p>
      <w:pPr>
        <w:pStyle w:val="ListParagraph"/>
        <w:numPr>
          <w:ilvl w:val="0"/>
          <w:numId w:val="12"/>
        </w:numPr>
        <w:spacing w:after="160"/>
      </w:pPr>
      <w:r>
        <w:rPr>
          <w:rFonts w:ascii="Calibri" w:cs="Calibri" w:eastAsia="Calibri" w:hAnsi="Calibri"/>
          <w:sz w:val="21"/>
          <w:szCs w:val="21"/>
        </w:rPr>
        <w:t xml:space="preserve">Read the Tech Mahindra and the Acquisition of Satyam Computers (A) HBS case (114-049, hbsp.harvard.edu/product/114049-PDF-ENG) in full. In 200 words, summarise the specific due-diligence and valuation challenges Tech Mahindra faced given Satyam's fraud-tainted books and the unusual, government-supervised bidding process.</w:t>
      </w:r>
    </w:p>
    <w:p>
      <w:pPr>
        <w:pStyle w:val="ListParagraph"/>
        <w:numPr>
          <w:ilvl w:val="0"/>
          <w:numId w:val="12"/>
        </w:numPr>
        <w:spacing w:after="160"/>
      </w:pPr>
      <w:r>
        <w:rPr>
          <w:rFonts w:ascii="Calibri" w:cs="Calibri" w:eastAsia="Calibri" w:hAnsi="Calibri"/>
          <w:sz w:val="21"/>
          <w:szCs w:val="21"/>
        </w:rPr>
        <w:t xml:space="preserve">State ONE specific legal/regulatory mechanism (for example, government supersession of the board, a specially supervised competitive-bidding process, or a specific SEBI/MCA intervention) that enabled the rescue acquisition to proceed despite the extreme information asymmetry, and explain why an ordinary M&amp;A due-diligence process would have been insufficient here.</w:t>
      </w:r>
    </w:p>
    <w:p>
      <w:pPr>
        <w:pStyle w:val="ListParagraph"/>
        <w:numPr>
          <w:ilvl w:val="0"/>
          <w:numId w:val="12"/>
        </w:numPr>
        <w:spacing w:after="160"/>
      </w:pPr>
      <w:r>
        <w:rPr>
          <w:rFonts w:ascii="Calibri" w:cs="Calibri" w:eastAsia="Calibri" w:hAnsi="Calibri"/>
          <w:sz w:val="21"/>
          <w:szCs w:val="21"/>
        </w:rPr>
        <w:t xml:space="preserve">Open Claude (claude.ai). Send this prompt: "I have analysed the Satyam governance failure and identified these specific board/independent-director/auditor failures: [paste your Step 2 analysis]. Critique my analysis: is there a plausible argument that I have understated one specific gatekeeper's responsibility (board, independent directors, or auditors) relative to the others?" Record Claude's critique and revise your analysis if genuinely persuasive.</w:t>
      </w:r>
    </w:p>
    <w:p>
      <w:pPr>
        <w:pStyle w:val="ListParagraph"/>
        <w:numPr>
          <w:ilvl w:val="0"/>
          <w:numId w:val="12"/>
        </w:numPr>
        <w:spacing w:after="160"/>
      </w:pPr>
      <w:r>
        <w:rPr>
          <w:rFonts w:ascii="Calibri" w:cs="Calibri" w:eastAsia="Calibri" w:hAnsi="Calibri"/>
          <w:sz w:val="21"/>
          <w:szCs w:val="21"/>
        </w:rPr>
        <w:t xml:space="preserve">Write a 350-word Case Analysis Memo combining your governance-failure diagnosis (post-AI-review), your today's-safeguards analysis, your Tech Mahindra due-diligence summary, and one specific implication for how an independent director joining a fast-growing Indian company's board today should structure their own oversight practice to avoid a Satyam-style blind spot.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Corporate Governance Failure at Satyam — Case (HKU889)</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Case Material</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case text for the governance-failure diagnosis</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hbsp.harvard.edu/product/HKU889-PDF-ENG</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Tech Mahindra and the Acquisition of Satyam Computers (A) — HBS Case (114-049)</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Case Material</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case text for the M&amp;A due-diligence analysis</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hbsp.harvard.edu/product/114049-PDF-ENG</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Claude (Sonnet)</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Critique</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Critiquing the governance-failure diagnosis for understated gatekeeper responsibility</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claude.ai</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Fraud summary, governance-failure diagnosis, today's-safeguards analysis, and Case Analysis Memo</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Accurately summarise a real, complex corporate fraud and its detection.</w:t>
      </w:r>
    </w:p>
    <w:p>
      <w:pPr>
        <w:pStyle w:val="ListParagraph"/>
        <w:numPr>
          <w:ilvl w:val="0"/>
          <w:numId w:val="2"/>
        </w:numPr>
        <w:spacing w:after="140"/>
      </w:pPr>
      <w:r>
        <w:rPr>
          <w:rFonts w:ascii="Calibri" w:cs="Calibri" w:eastAsia="Calibri" w:hAnsi="Calibri"/>
          <w:sz w:val="21"/>
          <w:szCs w:val="21"/>
        </w:rPr>
        <w:t xml:space="preserve">Diagnose specific governance failures across the board, independent directors, and auditors with case-grounded evidence.</w:t>
      </w:r>
    </w:p>
    <w:p>
      <w:pPr>
        <w:pStyle w:val="ListParagraph"/>
        <w:numPr>
          <w:ilvl w:val="0"/>
          <w:numId w:val="2"/>
        </w:numPr>
        <w:spacing w:after="140"/>
      </w:pPr>
      <w:r>
        <w:rPr>
          <w:rFonts w:ascii="Calibri" w:cs="Calibri" w:eastAsia="Calibri" w:hAnsi="Calibri"/>
          <w:sz w:val="21"/>
          <w:szCs w:val="21"/>
        </w:rPr>
        <w:t xml:space="preserve">Connect a historical governance failure to specific current Companies Act/SEBI (LODR) safeguards and explain their protective mechanism.</w:t>
      </w:r>
    </w:p>
    <w:p>
      <w:pPr>
        <w:pStyle w:val="ListParagraph"/>
        <w:numPr>
          <w:ilvl w:val="0"/>
          <w:numId w:val="2"/>
        </w:numPr>
        <w:spacing w:after="140"/>
      </w:pPr>
      <w:r>
        <w:rPr>
          <w:rFonts w:ascii="Calibri" w:cs="Calibri" w:eastAsia="Calibri" w:hAnsi="Calibri"/>
          <w:sz w:val="21"/>
          <w:szCs w:val="21"/>
        </w:rPr>
        <w:t xml:space="preserve">Use AI to critique a governance diagnosis for balance across gatekeepers, and draw a practical implication for a real board role.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250-word fraud summary + board/independent-director/auditor failure analysis + today's-safeguards analysis + 200-word Tech Mahindra due-diligence summary + rescue-mechanism analysis.</w:t>
      </w:r>
    </w:p>
    <w:p>
      <w:pPr>
        <w:pStyle w:val="ListParagraph"/>
        <w:numPr>
          <w:ilvl w:val="0"/>
          <w:numId w:val="2"/>
        </w:numPr>
        <w:spacing w:after="140"/>
      </w:pPr>
      <w:r>
        <w:rPr>
          <w:rFonts w:ascii="Calibri" w:cs="Calibri" w:eastAsia="Calibri" w:hAnsi="Calibri"/>
          <w:sz w:val="21"/>
          <w:szCs w:val="21"/>
        </w:rPr>
        <w:t xml:space="preserve">(2) Claude's recorded critique + your revision notes.</w:t>
      </w:r>
    </w:p>
    <w:p>
      <w:pPr>
        <w:pStyle w:val="ListParagraph"/>
        <w:numPr>
          <w:ilvl w:val="0"/>
          <w:numId w:val="2"/>
        </w:numPr>
        <w:spacing w:after="140"/>
      </w:pPr>
      <w:r>
        <w:rPr>
          <w:rFonts w:ascii="Calibri" w:cs="Calibri" w:eastAsia="Calibri" w:hAnsi="Calibri"/>
          <w:sz w:val="21"/>
          <w:szCs w:val="21"/>
        </w:rPr>
        <w:t xml:space="preserve">(3) 350-word Case Analysis Memo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Governance Failure Diagnosis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fraud summary is accurate; all three gatekeeper failures (board, independent directors, auditors) are specifically and correctly identified with case evidence; today's-safeguards analysis correctly connects specific Companies Act/SEBI (LODR) mechanisms to preventing this specific type of failure.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Fraud summary accurate; most gatekeeper failures correctly identified; safeguards analysis reasonably connected.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One gatekeeper failure is generic or unevidenced; safeguards analysis is vague.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Fraud summary inaccurate, or gatekeeper failures not correctly diagnosed.</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Tech Mahindra Due Diligence &amp; Rescue Mechanism Analysis</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due-diligence summary accurately captures the specific challenges of the fraud-tainted acquisition; the rescue-mechanism analysis correctly identifies the specific regulatory intervention and explains why ordinary due diligence was insufficient.</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Due-diligence summary reasonably accurate; rescue-mechanism analysis reasonably correct.</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Due-diligence summary is generic; rescue-mechanism analysis lacks specific regulatory grounding.</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Due-diligence summary inaccurate or rescue-mechanism analysis absent.</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Critique &amp; Case Analysis Memo</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is recorded in full and genuinely engaged with (revising the diagnosis if warranted); the Memo synthesises all elements into one specific, practical implication for a real independent-director role.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and reasonably addressed; Memo covers most required elements.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but not clearly engaged with; Memo's implication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critique recorded, or Memo absent/below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bl>
    <w:p>
      <w:pPr>
        <w:pStyle w:val="Heading2"/>
        <w:pageBreakBefore/>
        <w:spacing w:after="160"/>
      </w:pPr>
      <w:r>
        <w:rPr>
          <w:rFonts w:ascii="Calibri" w:cs="Calibri" w:eastAsia="Calibri" w:hAnsi="Calibri"/>
          <w:b/>
          <w:bCs/>
          <w:color w:val="162A4A"/>
        </w:rPr>
        <w:t xml:space="preserve">Activity 11: Corporate Governance Health-Check of a Real Listed Indian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11</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Corporate Governance Health-Check of a Real Listed Indian Company</w:t>
            </w:r>
          </w:p>
          <w:p>
            <w:pPr>
              <w:spacing w:after="0"/>
            </w:pPr>
            <w:r>
              <w:rPr>
                <w:rFonts w:ascii="Calibri" w:cs="Calibri" w:eastAsia="Calibri" w:hAnsi="Calibri"/>
                <w:i/>
                <w:iCs/>
                <w:color w:val="595959"/>
                <w:sz w:val="19"/>
                <w:szCs w:val="19"/>
              </w:rPr>
              <w:t xml:space="preserve">Unit 4 — Corporate Law, Governance and Competition Law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[RollNo]_LAW_Act11</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Applying the governance frameworks studied — board composition and independent-director norms, related-party-transaction scrutiny, SEBI (LODR) disclosure requirements, directors' duties, and CSR under Section 135 — to a REAL company's actual public disclosures is a much sharper test of understanding than discussing governance principles in the abstract.</w:t>
      </w:r>
    </w:p>
    <w:p>
      <w:pPr>
        <w:pStyle w:val="ListParagraph"/>
        <w:numPr>
          <w:ilvl w:val="0"/>
          <w:numId w:val="2"/>
        </w:numPr>
        <w:spacing w:after="140"/>
      </w:pPr>
      <w:r>
        <w:rPr>
          <w:rFonts w:ascii="Calibri" w:cs="Calibri" w:eastAsia="Calibri" w:hAnsi="Calibri"/>
          <w:sz w:val="21"/>
          <w:szCs w:val="21"/>
        </w:rPr>
        <w:t xml:space="preserve">Related-party transactions and board-independence structures are exactly where governance failures like Satyam's tend to originate, so learning to actually locate and read this information in a real Annual Report is a practical, transferable skill for equity research, consulting, or board-advisory roles.</w:t>
      </w:r>
    </w:p>
    <w:p>
      <w:pPr>
        <w:pStyle w:val="ListParagraph"/>
        <w:numPr>
          <w:ilvl w:val="0"/>
          <w:numId w:val="2"/>
        </w:numPr>
        <w:spacing w:after="140"/>
      </w:pPr>
      <w:r>
        <w:rPr>
          <w:rFonts w:ascii="Calibri" w:cs="Calibri" w:eastAsia="Calibri" w:hAnsi="Calibri"/>
          <w:sz w:val="21"/>
          <w:szCs w:val="21"/>
        </w:rPr>
        <w:t xml:space="preserve">Section 135 CSR compliance is a specific, checkable, quantitative disclosure (the mandated 2% of average net profits) that gives you a concrete, verifiable governance data point to audit, rather than a purely qualitative judgement call.</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13"/>
        </w:numPr>
        <w:spacing w:after="160"/>
      </w:pPr>
      <w:r>
        <w:rPr>
          <w:rFonts w:ascii="Calibri" w:cs="Calibri" w:eastAsia="Calibri" w:hAnsi="Calibri"/>
          <w:sz w:val="21"/>
          <w:szCs w:val="21"/>
        </w:rPr>
        <w:t xml:space="preserve">Select ONE BSE- or NSE-listed Indian company (different from any company you have used in a previous activity in this or another course, if possible) and download its most recent Annual Report from bseindia.com/corporates/ann.html, nseindia.com/companies-listing/corporate-filings-annual-reports, or its own investor relations page.</w:t>
      </w:r>
    </w:p>
    <w:p>
      <w:pPr>
        <w:pStyle w:val="ListParagraph"/>
        <w:numPr>
          <w:ilvl w:val="0"/>
          <w:numId w:val="13"/>
        </w:numPr>
        <w:spacing w:after="160"/>
      </w:pPr>
      <w:r>
        <w:rPr>
          <w:rFonts w:ascii="Calibri" w:cs="Calibri" w:eastAsia="Calibri" w:hAnsi="Calibri"/>
          <w:sz w:val="21"/>
          <w:szCs w:val="21"/>
        </w:rPr>
        <w:t xml:space="preserve">Locate and record the company's Board Composition: total number of directors, number and proportion of Independent Directors, and whether the Chairperson is Executive or Non-Executive/Independent — state whether this meets the general SEBI (LODR) expectation of a minimum proportion of independent directors (higher if the Chairperson is an Executive Director) for the company's listing category.</w:t>
      </w:r>
    </w:p>
    <w:p>
      <w:pPr>
        <w:pStyle w:val="ListParagraph"/>
        <w:numPr>
          <w:ilvl w:val="0"/>
          <w:numId w:val="13"/>
        </w:numPr>
        <w:spacing w:after="160"/>
      </w:pPr>
      <w:r>
        <w:rPr>
          <w:rFonts w:ascii="Calibri" w:cs="Calibri" w:eastAsia="Calibri" w:hAnsi="Calibri"/>
          <w:sz w:val="21"/>
          <w:szCs w:val="21"/>
        </w:rPr>
        <w:t xml:space="preserve">Locate the company's Related Party Transactions disclosure (usually in the notes to accounts or a dedicated RPT section) and record at least 2-3 significant related-party transactions disclosed, noting the nature of the relationship and whether the disclosure states the transaction was reviewed/approved by the Audit Committee or shareholders as applicable.</w:t>
      </w:r>
    </w:p>
    <w:p>
      <w:pPr>
        <w:pStyle w:val="ListParagraph"/>
        <w:numPr>
          <w:ilvl w:val="0"/>
          <w:numId w:val="13"/>
        </w:numPr>
        <w:spacing w:after="160"/>
      </w:pPr>
      <w:r>
        <w:rPr>
          <w:rFonts w:ascii="Calibri" w:cs="Calibri" w:eastAsia="Calibri" w:hAnsi="Calibri"/>
          <w:sz w:val="21"/>
          <w:szCs w:val="21"/>
        </w:rPr>
        <w:t xml:space="preserve">Locate and record the company's CSR disclosure under Section 135: the mandated CSR spending amount (2% of average net profits of the preceding three years), the ACTUAL amount spent, and whether there is any shortfall and its stated reason (if disclosed) — compute whether the company met, exceeded, or fell short of its mandated obligation.</w:t>
      </w:r>
    </w:p>
    <w:p>
      <w:pPr>
        <w:pStyle w:val="ListParagraph"/>
        <w:numPr>
          <w:ilvl w:val="0"/>
          <w:numId w:val="13"/>
        </w:numPr>
        <w:spacing w:after="160"/>
      </w:pPr>
      <w:r>
        <w:rPr>
          <w:rFonts w:ascii="Calibri" w:cs="Calibri" w:eastAsia="Calibri" w:hAnsi="Calibri"/>
          <w:sz w:val="21"/>
          <w:szCs w:val="21"/>
        </w:rPr>
        <w:t xml:space="preserve">State ONE specific observation about the company's Directors' Duties disclosure or any stated instance of board/director accountability (for example, a resignation, a disclosed conflict of interest, or a stated board evaluation process), citing the specific Annual Report section.</w:t>
      </w:r>
    </w:p>
    <w:p>
      <w:pPr>
        <w:pStyle w:val="ListParagraph"/>
        <w:numPr>
          <w:ilvl w:val="0"/>
          <w:numId w:val="13"/>
        </w:numPr>
        <w:spacing w:after="160"/>
      </w:pPr>
      <w:r>
        <w:rPr>
          <w:rFonts w:ascii="Calibri" w:cs="Calibri" w:eastAsia="Calibri" w:hAnsi="Calibri"/>
          <w:sz w:val="21"/>
          <w:szCs w:val="21"/>
        </w:rPr>
        <w:t xml:space="preserve">Open Perplexity AI (perplexity.ai). Search for any recent (last 12 months) governance-related news, shareholder activism, proxy advisory (IiAS, InGovern) commentary, or regulatory action involving this company, and record 2-3 relevant findings with sources.</w:t>
      </w:r>
    </w:p>
    <w:p>
      <w:pPr>
        <w:pStyle w:val="ListParagraph"/>
        <w:numPr>
          <w:ilvl w:val="0"/>
          <w:numId w:val="13"/>
        </w:numPr>
        <w:spacing w:after="160"/>
      </w:pPr>
      <w:r>
        <w:rPr>
          <w:rFonts w:ascii="Calibri" w:cs="Calibri" w:eastAsia="Calibri" w:hAnsi="Calibri"/>
          <w:sz w:val="21"/>
          <w:szCs w:val="21"/>
        </w:rPr>
        <w:t xml:space="preserve">Open ChatGPT (chat.openai.com). Send this prompt: "Here is my corporate governance health-check of [company]: board composition [paste], related-party transactions [paste], CSR compliance [paste]. Based on this, what is the SINGLE governance area you would flag as the highest-priority risk for this company's board to address, and why?" Record ChatGPT's response and state your own evaluation.</w:t>
      </w:r>
    </w:p>
    <w:p>
      <w:pPr>
        <w:pStyle w:val="ListParagraph"/>
        <w:numPr>
          <w:ilvl w:val="0"/>
          <w:numId w:val="13"/>
        </w:numPr>
        <w:spacing w:after="160"/>
      </w:pPr>
      <w:r>
        <w:rPr>
          <w:rFonts w:ascii="Calibri" w:cs="Calibri" w:eastAsia="Calibri" w:hAnsi="Calibri"/>
          <w:sz w:val="21"/>
          <w:szCs w:val="21"/>
        </w:rPr>
        <w:t xml:space="preserve">Write a 400-word Corporate Governance Health-Check Report combining all your findings, the recent-news update, and ChatGPT's flagged risk with your own evaluation, ending with one specific recommendation for the board.</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BSE India / NSE India Corporate Filings</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Source</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Annual Report data on board composition, RPTs, and CSR compliance</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bseindia.com/corporates/ann.html</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Perplexity AI</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Research — Recent Governance News</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Finding recent governance-related news or proxy-advisory commentary on the chosen company</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perplexity.ai</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ChatGPT (GPT-4o / GPT-5)</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Risk Prioritisation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Flagging the single highest-priority governance risk from the combined findings</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chat.openai.com</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 / Excel</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Governance health-check data tables and Corporate Governance Health-Check Report</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Locate and correctly interpret board-composition disclosures against SEBI (LODR) independence norms.</w:t>
      </w:r>
    </w:p>
    <w:p>
      <w:pPr>
        <w:pStyle w:val="ListParagraph"/>
        <w:numPr>
          <w:ilvl w:val="0"/>
          <w:numId w:val="2"/>
        </w:numPr>
        <w:spacing w:after="140"/>
      </w:pPr>
      <w:r>
        <w:rPr>
          <w:rFonts w:ascii="Calibri" w:cs="Calibri" w:eastAsia="Calibri" w:hAnsi="Calibri"/>
          <w:sz w:val="21"/>
          <w:szCs w:val="21"/>
        </w:rPr>
        <w:t xml:space="preserve">Locate and analyse related-party-transaction disclosures and their approval/oversight process.</w:t>
      </w:r>
    </w:p>
    <w:p>
      <w:pPr>
        <w:pStyle w:val="ListParagraph"/>
        <w:numPr>
          <w:ilvl w:val="0"/>
          <w:numId w:val="2"/>
        </w:numPr>
        <w:spacing w:after="140"/>
      </w:pPr>
      <w:r>
        <w:rPr>
          <w:rFonts w:ascii="Calibri" w:cs="Calibri" w:eastAsia="Calibri" w:hAnsi="Calibri"/>
          <w:sz w:val="21"/>
          <w:szCs w:val="21"/>
        </w:rPr>
        <w:t xml:space="preserve">Compute and assess a real company's Section 135 CSR compliance against its mandated spending obligation.</w:t>
      </w:r>
    </w:p>
    <w:p>
      <w:pPr>
        <w:pStyle w:val="ListParagraph"/>
        <w:numPr>
          <w:ilvl w:val="0"/>
          <w:numId w:val="2"/>
        </w:numPr>
        <w:spacing w:after="140"/>
      </w:pPr>
      <w:r>
        <w:rPr>
          <w:rFonts w:ascii="Calibri" w:cs="Calibri" w:eastAsia="Calibri" w:hAnsi="Calibri"/>
          <w:sz w:val="21"/>
          <w:szCs w:val="21"/>
        </w:rPr>
        <w:t xml:space="preserve">Use AI to prioritise governance risks from combined quantitative and qualitative findings, and form an independent evaluation.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Word/Excel document — board composition analysis + related-party transaction findings + Section 135 CSR compliance computation + directors' accountability observation.</w:t>
      </w:r>
    </w:p>
    <w:p>
      <w:pPr>
        <w:pStyle w:val="ListParagraph"/>
        <w:numPr>
          <w:ilvl w:val="0"/>
          <w:numId w:val="2"/>
        </w:numPr>
        <w:spacing w:after="140"/>
      </w:pPr>
      <w:r>
        <w:rPr>
          <w:rFonts w:ascii="Calibri" w:cs="Calibri" w:eastAsia="Calibri" w:hAnsi="Calibri"/>
          <w:sz w:val="21"/>
          <w:szCs w:val="21"/>
        </w:rPr>
        <w:t xml:space="preserve">(2) Perplexity AI's recorded recent-news findings with sources.</w:t>
      </w:r>
    </w:p>
    <w:p>
      <w:pPr>
        <w:pStyle w:val="ListParagraph"/>
        <w:numPr>
          <w:ilvl w:val="0"/>
          <w:numId w:val="2"/>
        </w:numPr>
        <w:spacing w:after="140"/>
      </w:pPr>
      <w:r>
        <w:rPr>
          <w:rFonts w:ascii="Calibri" w:cs="Calibri" w:eastAsia="Calibri" w:hAnsi="Calibri"/>
          <w:sz w:val="21"/>
          <w:szCs w:val="21"/>
        </w:rPr>
        <w:t xml:space="preserve">(3) ChatGPT's recorded risk-prioritisation response + your evaluation.</w:t>
      </w:r>
    </w:p>
    <w:p>
      <w:pPr>
        <w:pStyle w:val="ListParagraph"/>
        <w:numPr>
          <w:ilvl w:val="0"/>
          <w:numId w:val="2"/>
        </w:numPr>
        <w:spacing w:after="140"/>
      </w:pPr>
      <w:r>
        <w:rPr>
          <w:rFonts w:ascii="Calibri" w:cs="Calibri" w:eastAsia="Calibri" w:hAnsi="Calibri"/>
          <w:sz w:val="21"/>
          <w:szCs w:val="21"/>
        </w:rPr>
        <w:t xml:space="preserve">(4) 400-word Corporate Governance Health-Check Report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Board Composition &amp; RPT Analysis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Board composition is accurately extracted and correctly assessed against SEBI (LODR) independence expectations; at least 2-3 related-party transactions are correctly identified with their approval/oversight process noted.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Board composition and RPT data mostly accurate with reasonable assessment.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Board composition or RPT data has gaps or the independence assessment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Board composition/RPT data not extracted or largely inaccurate.</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CSR Compliance Computation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Section 135 CSR compliance computation is accurate, correctly comparing mandated versus actual spend with any shortfall reason noted.</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CSR computation reasonably accurate.</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CSR computation has an error or omits the shortfall/reason check.</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CSR compliance not computed or fundamentally incorrect.</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25%</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Risk Prioritisation &amp; Health-Check Report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Perplexity's recent-news findings are specific and sourced; ChatGPT's risk-prioritisation response is recorded in full and genuinely evaluated with the student's own reasoning; the Report synthesises all elements into one specific, well-justified board recommendation.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Findings and AI response recorded and reasonably evaluated; Report covers most required elements.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Findings or AI response accepted without evaluation; Report's recommendation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research/response recorded, or Report absent/below 250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bl>
    <w:p>
      <w:pPr>
        <w:pStyle w:val="Heading2"/>
        <w:pageBreakBefore/>
        <w:spacing w:after="160"/>
      </w:pPr>
      <w:r>
        <w:rPr>
          <w:rFonts w:ascii="Calibri" w:cs="Calibri" w:eastAsia="Calibri" w:hAnsi="Calibri"/>
          <w:b/>
          <w:bCs/>
          <w:color w:val="162A4A"/>
        </w:rPr>
        <w:t xml:space="preserve">Activity 12: CCI Order Analysis — Anti-Competitive Conduct and Digital Market Regulation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12</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CCI Order Analysis — Anti-Competitive Conduct and Digital Market Regulation</w:t>
            </w:r>
          </w:p>
          <w:p>
            <w:pPr>
              <w:spacing w:after="0"/>
            </w:pPr>
            <w:r>
              <w:rPr>
                <w:rFonts w:ascii="Calibri" w:cs="Calibri" w:eastAsia="Calibri" w:hAnsi="Calibri"/>
                <w:i/>
                <w:iCs/>
                <w:color w:val="595959"/>
                <w:sz w:val="19"/>
                <w:szCs w:val="19"/>
              </w:rPr>
              <w:t xml:space="preserve">Unit 4 — Corporate Law, Governance and Competition Law</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[RollNo]_LAW_Act12</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This activity directly builds the CCI Order Analysis Live Assignment prescribed for this unit — reviewing a real, recent Competition Commission of India order and correctly identifying the specific anti-competitive conduct and remedy involved gives you practical, current regulatory literacy rather than textbook-only knowledge of the Competition Act, 2002.</w:t>
      </w:r>
    </w:p>
    <w:p>
      <w:pPr>
        <w:pStyle w:val="ListParagraph"/>
        <w:numPr>
          <w:ilvl w:val="0"/>
          <w:numId w:val="2"/>
        </w:numPr>
        <w:spacing w:after="140"/>
      </w:pPr>
      <w:r>
        <w:rPr>
          <w:rFonts w:ascii="Calibri" w:cs="Calibri" w:eastAsia="Calibri" w:hAnsi="Calibri"/>
          <w:sz w:val="21"/>
          <w:szCs w:val="21"/>
        </w:rPr>
        <w:t xml:space="preserve">Correctly distinguishing an Anti-Competitive Agreement (Section 3) from Abuse of Dominance (Section 4) from a Regulation of Combinations (Sections 5-6) issue is essential, since each triggers a completely different legal test and remedy, and real CCI orders often require you to identify which specific provision is actually engaged.</w:t>
      </w:r>
    </w:p>
    <w:p>
      <w:pPr>
        <w:pStyle w:val="ListParagraph"/>
        <w:numPr>
          <w:ilvl w:val="0"/>
          <w:numId w:val="2"/>
        </w:numPr>
        <w:spacing w:after="140"/>
      </w:pPr>
      <w:r>
        <w:rPr>
          <w:rFonts w:ascii="Calibri" w:cs="Calibri" w:eastAsia="Calibri" w:hAnsi="Calibri"/>
          <w:sz w:val="21"/>
          <w:szCs w:val="21"/>
        </w:rPr>
        <w:t xml:space="preserve">Algorithmic collusion and self-preferencing are genuinely current, evolving competition-law concerns in digital markets — analysing a real digital-platform CCI order connects the classical Competition Act framework to the exact regulatory frontier a product, growth, or platform-strategy role will encounter.</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14"/>
        </w:numPr>
        <w:spacing w:after="160"/>
      </w:pPr>
      <w:r>
        <w:rPr>
          <w:rFonts w:ascii="Calibri" w:cs="Calibri" w:eastAsia="Calibri" w:hAnsi="Calibri"/>
          <w:sz w:val="21"/>
          <w:szCs w:val="21"/>
        </w:rPr>
        <w:t xml:space="preserve">Visit the Competition Commission of India's Orders &amp; Notifications section (cci.gov.in) and locate ONE recent (ideally last 12-24 months) order concerning a digital platform (for example, an app-store policy case, an e-commerce marketplace case, or a platform self-preferencing case). If you cannot access the full order text directly, use Perplexity AI (perplexity.ai) to search "CCI order [platform name] anti-competitive [year]" to locate a reliable summary and the order's key findings, and note your source clearly either way.</w:t>
      </w:r>
    </w:p>
    <w:p>
      <w:pPr>
        <w:pStyle w:val="ListParagraph"/>
        <w:numPr>
          <w:ilvl w:val="0"/>
          <w:numId w:val="14"/>
        </w:numPr>
        <w:spacing w:after="160"/>
      </w:pPr>
      <w:r>
        <w:rPr>
          <w:rFonts w:ascii="Calibri" w:cs="Calibri" w:eastAsia="Calibri" w:hAnsi="Calibri"/>
          <w:sz w:val="21"/>
          <w:szCs w:val="21"/>
        </w:rPr>
        <w:t xml:space="preserve">In a Word document, write a 200-word summary of the specific conduct the CCI investigated (for example, an app store's mandatory in-app payment system, a platform's alleged self-preferencing of its own products in search results, or exclusive-tie-up arrangements with sellers).</w:t>
      </w:r>
    </w:p>
    <w:p>
      <w:pPr>
        <w:pStyle w:val="ListParagraph"/>
        <w:numPr>
          <w:ilvl w:val="0"/>
          <w:numId w:val="14"/>
        </w:numPr>
        <w:spacing w:after="160"/>
      </w:pPr>
      <w:r>
        <w:rPr>
          <w:rFonts w:ascii="Calibri" w:cs="Calibri" w:eastAsia="Calibri" w:hAnsi="Calibri"/>
          <w:sz w:val="21"/>
          <w:szCs w:val="21"/>
        </w:rPr>
        <w:t xml:space="preserve">Classify the conduct as primarily an Anti-Competitive Agreement (Section 3), an Abuse of Dominance (Section 4), or a Combination-regulation issue (Sections 5-6), with a one-paragraph justification citing the specific test the CCI would apply (for example, for abuse of dominance: first establishing the 'relevant market' and the company's dominant position within it, THEN assessing whether specific conduct constitutes abuse).</w:t>
      </w:r>
    </w:p>
    <w:p>
      <w:pPr>
        <w:pStyle w:val="ListParagraph"/>
        <w:numPr>
          <w:ilvl w:val="0"/>
          <w:numId w:val="14"/>
        </w:numPr>
        <w:spacing w:after="160"/>
      </w:pPr>
      <w:r>
        <w:rPr>
          <w:rFonts w:ascii="Calibri" w:cs="Calibri" w:eastAsia="Calibri" w:hAnsi="Calibri"/>
          <w:sz w:val="21"/>
          <w:szCs w:val="21"/>
        </w:rPr>
        <w:t xml:space="preserve">State the SPECIFIC remedy or penalty the CCI imposed (or proposed) in the order, and assess in 100 words whether you consider it proportionate to the harm described, or state your view on whether it was too lenient or too severe, with reasoning.</w:t>
      </w:r>
    </w:p>
    <w:p>
      <w:pPr>
        <w:pStyle w:val="ListParagraph"/>
        <w:numPr>
          <w:ilvl w:val="0"/>
          <w:numId w:val="14"/>
        </w:numPr>
        <w:spacing w:after="160"/>
      </w:pPr>
      <w:r>
        <w:rPr>
          <w:rFonts w:ascii="Calibri" w:cs="Calibri" w:eastAsia="Calibri" w:hAnsi="Calibri"/>
          <w:sz w:val="21"/>
          <w:szCs w:val="21"/>
        </w:rPr>
        <w:t xml:space="preserve">Analyse whether this case involves — or could plausibly extend to — either Algorithmic Collusion (pricing or ranking algorithms coordinating outcomes without explicit human agreement) or Self-Preferencing (a platform favouring its own products/services over competitors' in ways not available to competitors), explaining the specific mechanism in 150 words even if the actual order does not use these exact terms.</w:t>
      </w:r>
    </w:p>
    <w:p>
      <w:pPr>
        <w:pStyle w:val="ListParagraph"/>
        <w:numPr>
          <w:ilvl w:val="0"/>
          <w:numId w:val="14"/>
        </w:numPr>
        <w:spacing w:after="160"/>
      </w:pPr>
      <w:r>
        <w:rPr>
          <w:rFonts w:ascii="Calibri" w:cs="Calibri" w:eastAsia="Calibri" w:hAnsi="Calibri"/>
          <w:sz w:val="21"/>
          <w:szCs w:val="21"/>
        </w:rPr>
        <w:t xml:space="preserve">Open Claude (claude.ai). Send this prompt: "Here is my analysis of a CCI order: [paste your Steps 2-4]. Critique my Section 3/4/5-6 classification — is there a plausible argument that a different provision of the Competition Act is actually the better fit, and what would change about the required legal test if so?" Record Claude's critique and revise your classification if genuinely persuasive.</w:t>
      </w:r>
    </w:p>
    <w:p>
      <w:pPr>
        <w:pStyle w:val="ListParagraph"/>
        <w:numPr>
          <w:ilvl w:val="0"/>
          <w:numId w:val="14"/>
        </w:numPr>
        <w:spacing w:after="160"/>
      </w:pPr>
      <w:r>
        <w:rPr>
          <w:rFonts w:ascii="Calibri" w:cs="Calibri" w:eastAsia="Calibri" w:hAnsi="Calibri"/>
          <w:sz w:val="21"/>
          <w:szCs w:val="21"/>
        </w:rPr>
        <w:t xml:space="preserve">Write a 350-word CCI Order Analysis Memo combining the case summary, your defended (AI-reviewed) classification, your proportionality assessment, and your algorithmic-collusion/self-preferencing analysis, ending with one specific implication for how a digital platform operating in India should design its own ranking/pricing algorithms to reduce competition-law risk.</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Competition Commission of India (Orders &amp; Notifications)</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Regulatory Source</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Locating a real, recent CCI order concerning a digital platform</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cci.gov.in</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Perplexity AI</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Research</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Locating reliable summaries and key findings if the full order text is not directly accessible</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perplexity.ai</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Claude (Sonnet)</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Classification Critique</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Critiquing the Section 3/4/5-6 classification for an alternative provision fit</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claude.ai</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Case summary, classification, proportionality assessment, and CCI Order Analysis Memo</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Locate and accurately summarise a real, recent Competition Commission of India order concerning a digital platform.</w:t>
      </w:r>
    </w:p>
    <w:p>
      <w:pPr>
        <w:pStyle w:val="ListParagraph"/>
        <w:numPr>
          <w:ilvl w:val="0"/>
          <w:numId w:val="2"/>
        </w:numPr>
        <w:spacing w:after="140"/>
      </w:pPr>
      <w:r>
        <w:rPr>
          <w:rFonts w:ascii="Calibri" w:cs="Calibri" w:eastAsia="Calibri" w:hAnsi="Calibri"/>
          <w:sz w:val="21"/>
          <w:szCs w:val="21"/>
        </w:rPr>
        <w:t xml:space="preserve">Correctly classify anti-competitive conduct under the appropriate Competition Act provision (Section 3, 4, or 5-6) with the correct applicable legal test.</w:t>
      </w:r>
    </w:p>
    <w:p>
      <w:pPr>
        <w:pStyle w:val="ListParagraph"/>
        <w:numPr>
          <w:ilvl w:val="0"/>
          <w:numId w:val="2"/>
        </w:numPr>
        <w:spacing w:after="140"/>
      </w:pPr>
      <w:r>
        <w:rPr>
          <w:rFonts w:ascii="Calibri" w:cs="Calibri" w:eastAsia="Calibri" w:hAnsi="Calibri"/>
          <w:sz w:val="21"/>
          <w:szCs w:val="21"/>
        </w:rPr>
        <w:t xml:space="preserve">Assess the proportionality of a real regulatory remedy with independent, reasoned judgement.</w:t>
      </w:r>
    </w:p>
    <w:p>
      <w:pPr>
        <w:pStyle w:val="ListParagraph"/>
        <w:numPr>
          <w:ilvl w:val="0"/>
          <w:numId w:val="2"/>
        </w:numPr>
        <w:spacing w:after="140"/>
      </w:pPr>
      <w:r>
        <w:rPr>
          <w:rFonts w:ascii="Calibri" w:cs="Calibri" w:eastAsia="Calibri" w:hAnsi="Calibri"/>
          <w:sz w:val="21"/>
          <w:szCs w:val="21"/>
        </w:rPr>
        <w:t xml:space="preserve">Analyse algorithmic collusion and self-preferencing risks in a real or analogous digital-platform scenario, and use AI to stress-test a legal classification.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200-word CCI order summary + Section 3/4/5-6 classification with justification + proportionality assessment + algorithmic collusion/self-preferencing analysis.</w:t>
      </w:r>
    </w:p>
    <w:p>
      <w:pPr>
        <w:pStyle w:val="ListParagraph"/>
        <w:numPr>
          <w:ilvl w:val="0"/>
          <w:numId w:val="2"/>
        </w:numPr>
        <w:spacing w:after="140"/>
      </w:pPr>
      <w:r>
        <w:rPr>
          <w:rFonts w:ascii="Calibri" w:cs="Calibri" w:eastAsia="Calibri" w:hAnsi="Calibri"/>
          <w:sz w:val="21"/>
          <w:szCs w:val="21"/>
        </w:rPr>
        <w:t xml:space="preserve">(2) Claude's recorded critique + your revision notes.</w:t>
      </w:r>
    </w:p>
    <w:p>
      <w:pPr>
        <w:pStyle w:val="ListParagraph"/>
        <w:numPr>
          <w:ilvl w:val="0"/>
          <w:numId w:val="2"/>
        </w:numPr>
        <w:spacing w:after="140"/>
      </w:pPr>
      <w:r>
        <w:rPr>
          <w:rFonts w:ascii="Calibri" w:cs="Calibri" w:eastAsia="Calibri" w:hAnsi="Calibri"/>
          <w:sz w:val="21"/>
          <w:szCs w:val="21"/>
        </w:rPr>
        <w:t xml:space="preserve">(3) 350-word CCI Order Analysis Memo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Case Summary &amp; Legal Classification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case summary is accurate and sourced to a real, recent CCI order; the Section 3/4/5-6 classification is correct with the specific applicable legal test correctly described and justified.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accurate; classification correct with reasonable justification.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is vague or under-sourced; classification is asserted without the correct legal test.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inaccurate or fabricated; classification incorrect or absent.</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Proportionality Assessment &amp; Digital Market Analysis</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proportionality assessment is specific and well-reasoned; the algorithmic-collusion/self-preferencing analysis correctly explains the specific mechanism relevant to the case, even where the order itself does not use these terms.</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Proportionality assessment reasonable; digital-market analysis reasonably specific.</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Proportionality assessment is generic; digital-market analysis is superficial.</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Proportionality assessment absent; digital-market analysis not attempted or fundamentally confused.</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Critique &amp; Order Analysis Memo</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is recorded in full and genuinely engaged with; the Memo synthesises all elements into one specific, practical implication for platform algorithm design.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and reasonably addressed; Memo covers most required elements.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but not clearly engaged with; Memo's implication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critique recorded, or Memo absent/below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bl>
    <w:p>
      <w:pPr>
        <w:pStyle w:val="Heading1"/>
        <w:pageBreakBefore/>
        <w:spacing w:after="120"/>
      </w:pPr>
      <w:r>
        <w:rPr>
          <w:rFonts w:ascii="Calibri" w:cs="Calibri" w:eastAsia="Calibri" w:hAnsi="Calibri"/>
          <w:b/>
          <w:bCs/>
          <w:color w:val="162A4A"/>
        </w:rPr>
        <w:t xml:space="preserve">Unit 5 — Digital Law, Data Protection, Consumer Protection, IP and International Trade</w:t>
      </w:r>
    </w:p>
    <w:p>
      <w:pPr>
        <w:spacing w:after="260"/>
      </w:pPr>
      <w:r>
        <w:rPr>
          <w:rFonts w:ascii="Calibri" w:cs="Calibri" w:eastAsia="Calibri" w:hAnsi="Calibri"/>
          <w:i/>
          <w:iCs/>
          <w:color w:val="595959"/>
          <w:sz w:val="21"/>
          <w:szCs w:val="21"/>
        </w:rPr>
        <w:t xml:space="preserve">Activities 13, 14, and 15 build contemporary regulatory-compliance literacy — auditing a real consumer app against the Digital Personal Data Protection Act, 2023, dissecting the Novartis patent-law and Facebook-Cambridge Analytica data-privacy cases, and auditing a real product's intellectual property position and international trade readiness.</w:t>
      </w:r>
    </w:p>
    <w:p>
      <w:pPr>
        <w:pStyle w:val="Heading2"/>
        <w:pageBreakBefore/>
        <w:spacing w:after="160"/>
      </w:pPr>
      <w:r>
        <w:rPr>
          <w:rFonts w:ascii="Calibri" w:cs="Calibri" w:eastAsia="Calibri" w:hAnsi="Calibri"/>
          <w:b/>
          <w:bCs/>
          <w:color w:val="162A4A"/>
        </w:rPr>
        <w:t xml:space="preserve">Activity 13: DPDP Act, 2023 Compliance Audit of a Real Consumer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13</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DPDP Act, 2023 Compliance Audit of a Real Consumer App</w:t>
            </w:r>
          </w:p>
          <w:p>
            <w:pPr>
              <w:spacing w:after="0"/>
            </w:pPr>
            <w:r>
              <w:rPr>
                <w:rFonts w:ascii="Calibri" w:cs="Calibri" w:eastAsia="Calibri" w:hAnsi="Calibri"/>
                <w:i/>
                <w:iCs/>
                <w:color w:val="595959"/>
                <w:sz w:val="19"/>
                <w:szCs w:val="19"/>
              </w:rPr>
              <w:t xml:space="preserve">Unit 5 — Digital Law, Data Protection, Consumer Protection, IP and International Trade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[RollNo]_LAW_Act13</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This activity directly builds Assessment 4 (Regulatory Compliance Project) and the DPDP Act Compliance Audit Live Assignment prescribed for this course — auditing a real app's actual privacy policy and consent flows against India's Digital Personal Data Protection Act, 2023 gives you practical compliance-audit literacy, not just familiarity with the Act's provisions in the abstract.</w:t>
      </w:r>
    </w:p>
    <w:p>
      <w:pPr>
        <w:pStyle w:val="ListParagraph"/>
        <w:numPr>
          <w:ilvl w:val="0"/>
          <w:numId w:val="2"/>
        </w:numPr>
        <w:spacing w:after="140"/>
      </w:pPr>
      <w:r>
        <w:rPr>
          <w:rFonts w:ascii="Calibri" w:cs="Calibri" w:eastAsia="Calibri" w:hAnsi="Calibri"/>
          <w:sz w:val="21"/>
          <w:szCs w:val="21"/>
        </w:rPr>
        <w:t xml:space="preserve">Correctly distinguishing a Data Fiduciary from a Data Principal, and understanding what a valid consent framework actually requires (specific, informed, unambiguous, and withdrawable) is essential for any product, growth, or operations role in a data-driven business, since the DPDPA now applies to almost every consumer-facing Indian digital product.</w:t>
      </w:r>
    </w:p>
    <w:p>
      <w:pPr>
        <w:pStyle w:val="ListParagraph"/>
        <w:numPr>
          <w:ilvl w:val="0"/>
          <w:numId w:val="2"/>
        </w:numPr>
        <w:spacing w:after="140"/>
      </w:pPr>
      <w:r>
        <w:rPr>
          <w:rFonts w:ascii="Calibri" w:cs="Calibri" w:eastAsia="Calibri" w:hAnsi="Calibri"/>
          <w:sz w:val="21"/>
          <w:szCs w:val="21"/>
        </w:rPr>
        <w:t xml:space="preserve">Cross-border data transfer rules and the penalty structure under the DPDPA are genuinely consequential for any company with international infrastructure or vendors — this activity requires you to check a REAL app's actual disclosures on this point, not assume compliance.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15"/>
        </w:numPr>
        <w:spacing w:after="160"/>
      </w:pPr>
      <w:r>
        <w:rPr>
          <w:rFonts w:ascii="Calibri" w:cs="Calibri" w:eastAsia="Calibri" w:hAnsi="Calibri"/>
          <w:sz w:val="21"/>
          <w:szCs w:val="21"/>
        </w:rPr>
        <w:t xml:space="preserve">Choose ONE real consumer-facing Indian app or website you use (a food-delivery app, a fintech app, an e-commerce platform, or a healthtech app). Locate and read its full Privacy Policy and, where accessible, its consent flow during signup/onboarding (take notes or screenshots of the specific consent mechanism — a single blanket checkbox, granular toggles, or something else).</w:t>
      </w:r>
    </w:p>
    <w:p>
      <w:pPr>
        <w:pStyle w:val="ListParagraph"/>
        <w:numPr>
          <w:ilvl w:val="0"/>
          <w:numId w:val="15"/>
        </w:numPr>
        <w:spacing w:after="160"/>
      </w:pPr>
      <w:r>
        <w:rPr>
          <w:rFonts w:ascii="Calibri" w:cs="Calibri" w:eastAsia="Calibri" w:hAnsi="Calibri"/>
          <w:sz w:val="21"/>
          <w:szCs w:val="21"/>
        </w:rPr>
        <w:t xml:space="preserve">State, in your own words, who the Data Fiduciary is (the app/company) and who the Data Principal is (the user) in this relationship, and identify the SPECIFIC categories of personal data the app's privacy policy discloses that it collects (for example, location data, payment information, contact list access, or biometric data).</w:t>
      </w:r>
    </w:p>
    <w:p>
      <w:pPr>
        <w:pStyle w:val="ListParagraph"/>
        <w:numPr>
          <w:ilvl w:val="0"/>
          <w:numId w:val="15"/>
        </w:numPr>
        <w:spacing w:after="160"/>
      </w:pPr>
      <w:r>
        <w:rPr>
          <w:rFonts w:ascii="Calibri" w:cs="Calibri" w:eastAsia="Calibri" w:hAnsi="Calibri"/>
          <w:sz w:val="21"/>
          <w:szCs w:val="21"/>
        </w:rPr>
        <w:t xml:space="preserve">Assess the app's consent mechanism against the DPDPA's consent-framework requirements: is consent specific (tied to a clearly stated purpose) or bundled/generic? Is it informed (clear language, not buried in dense legalese) or opaque? Can a user withdraw consent as easily as they gave it, and does the privacy policy state this? Score each of these three dimensions as Compliant/Partially Compliant/Non-Compliant with your specific evidence.</w:t>
      </w:r>
    </w:p>
    <w:p>
      <w:pPr>
        <w:pStyle w:val="ListParagraph"/>
        <w:numPr>
          <w:ilvl w:val="0"/>
          <w:numId w:val="15"/>
        </w:numPr>
        <w:spacing w:after="160"/>
      </w:pPr>
      <w:r>
        <w:rPr>
          <w:rFonts w:ascii="Calibri" w:cs="Calibri" w:eastAsia="Calibri" w:hAnsi="Calibri"/>
          <w:sz w:val="21"/>
          <w:szCs w:val="21"/>
        </w:rPr>
        <w:t xml:space="preserve">Locate the privacy policy's disclosure (if any) on Cross-Border Data Transfer — does the app state that user data may be transferred to or processed in servers outside India, and if so, does it reference any specific safeguard or country restriction? State what you found, or explicitly note if this information is not disclosed at all (which is itself a compliance gap worth flagging).</w:t>
      </w:r>
    </w:p>
    <w:p>
      <w:pPr>
        <w:pStyle w:val="ListParagraph"/>
        <w:numPr>
          <w:ilvl w:val="0"/>
          <w:numId w:val="15"/>
        </w:numPr>
        <w:spacing w:after="160"/>
      </w:pPr>
      <w:r>
        <w:rPr>
          <w:rFonts w:ascii="Calibri" w:cs="Calibri" w:eastAsia="Calibri" w:hAnsi="Calibri"/>
          <w:sz w:val="21"/>
          <w:szCs w:val="21"/>
        </w:rPr>
        <w:t xml:space="preserve">Research (using Perplexity AI, perplexity.ai, or the Ministry of Electronics and Information Technology's own resources at meity.gov.in) the DPDPA's penalty structure for specific types of non-compliance (for example, failure to implement reasonable security safeguards, or failure to notify a data breach), and state which specific penalty provision would be most relevant if your chosen app suffered a breach of the data categories you identified in Step 2.</w:t>
      </w:r>
    </w:p>
    <w:p>
      <w:pPr>
        <w:pStyle w:val="ListParagraph"/>
        <w:numPr>
          <w:ilvl w:val="0"/>
          <w:numId w:val="15"/>
        </w:numPr>
        <w:spacing w:after="160"/>
      </w:pPr>
      <w:r>
        <w:rPr>
          <w:rFonts w:ascii="Calibri" w:cs="Calibri" w:eastAsia="Calibri" w:hAnsi="Calibri"/>
          <w:sz w:val="21"/>
          <w:szCs w:val="21"/>
        </w:rPr>
        <w:t xml:space="preserve">Open ChatGPT (chat.openai.com). Send this prompt: "Here is my DPDP Act compliance audit of [app name]'s privacy policy and consent flow: [paste your Steps 2-4 findings]. Based on this, what is the SINGLE most significant compliance gap you would flag if you were advising this company's legal/compliance team, and why is it higher-priority than the others I found?" Record ChatGPT's response and state your own evaluation, agreeing or disagreeing with reasoning.</w:t>
      </w:r>
    </w:p>
    <w:p>
      <w:pPr>
        <w:pStyle w:val="ListParagraph"/>
        <w:numPr>
          <w:ilvl w:val="0"/>
          <w:numId w:val="15"/>
        </w:numPr>
        <w:spacing w:after="160"/>
      </w:pPr>
      <w:r>
        <w:rPr>
          <w:rFonts w:ascii="Calibri" w:cs="Calibri" w:eastAsia="Calibri" w:hAnsi="Calibri"/>
          <w:sz w:val="21"/>
          <w:szCs w:val="21"/>
        </w:rPr>
        <w:t xml:space="preserve">Write a 400-word DPDP Act Compliance Audit Report combining your Data Fiduciary/Principal identification, your three-dimension consent assessment, your cross-border transfer finding, the relevant penalty provision, and ChatGPT's flagged priority gap with your own evaluation, ending with one specific, actionable recommendation for the company.</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Real Consumer App Privacy Policy &amp; Consent Flow</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Source</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The actual privacy policy text and onboarding consent mechanism being audited</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App/website</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Perplexity AI / MeitY (meity.gov.in)</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Legal Research</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Researching the DPDP Act's specific penalty provisions</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perplexity.ai / meity.gov.in</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ChatGPT (GPT-4o / GPT-5)</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Gap Prioritisation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Flagging the single most significant compliance gap and its priority relative to others</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chat.openai.com</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Consent assessment, cross-border transfer finding, penalty analysis, and Compliance Audit Report</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Correctly identify the Data Fiduciary and Data Principal roles and the specific personal-data categories collected in a real app.</w:t>
      </w:r>
    </w:p>
    <w:p>
      <w:pPr>
        <w:pStyle w:val="ListParagraph"/>
        <w:numPr>
          <w:ilvl w:val="0"/>
          <w:numId w:val="2"/>
        </w:numPr>
        <w:spacing w:after="140"/>
      </w:pPr>
      <w:r>
        <w:rPr>
          <w:rFonts w:ascii="Calibri" w:cs="Calibri" w:eastAsia="Calibri" w:hAnsi="Calibri"/>
          <w:sz w:val="21"/>
          <w:szCs w:val="21"/>
        </w:rPr>
        <w:t xml:space="preserve">Assess a real consent mechanism against the DPDPA's specificity, informed-ness, and withdrawability requirements, with concrete evidence.</w:t>
      </w:r>
    </w:p>
    <w:p>
      <w:pPr>
        <w:pStyle w:val="ListParagraph"/>
        <w:numPr>
          <w:ilvl w:val="0"/>
          <w:numId w:val="2"/>
        </w:numPr>
        <w:spacing w:after="140"/>
      </w:pPr>
      <w:r>
        <w:rPr>
          <w:rFonts w:ascii="Calibri" w:cs="Calibri" w:eastAsia="Calibri" w:hAnsi="Calibri"/>
          <w:sz w:val="21"/>
          <w:szCs w:val="21"/>
        </w:rPr>
        <w:t xml:space="preserve">Identify and analyse a real app's cross-border data transfer disclosure (or its absence) as a compliance factor.</w:t>
      </w:r>
    </w:p>
    <w:p>
      <w:pPr>
        <w:pStyle w:val="ListParagraph"/>
        <w:numPr>
          <w:ilvl w:val="0"/>
          <w:numId w:val="2"/>
        </w:numPr>
        <w:spacing w:after="140"/>
      </w:pPr>
      <w:r>
        <w:rPr>
          <w:rFonts w:ascii="Calibri" w:cs="Calibri" w:eastAsia="Calibri" w:hAnsi="Calibri"/>
          <w:sz w:val="21"/>
          <w:szCs w:val="21"/>
        </w:rPr>
        <w:t xml:space="preserve">Research the DPDPA's penalty structure and apply it to a specific data category and use AI to prioritise the most significant compliance gap found.</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Data Fiduciary/Principal and data-category identification + three-dimension consent assessment with evidence + cross-border transfer finding + relevant penalty provision.</w:t>
      </w:r>
    </w:p>
    <w:p>
      <w:pPr>
        <w:pStyle w:val="ListParagraph"/>
        <w:numPr>
          <w:ilvl w:val="0"/>
          <w:numId w:val="2"/>
        </w:numPr>
        <w:spacing w:after="140"/>
      </w:pPr>
      <w:r>
        <w:rPr>
          <w:rFonts w:ascii="Calibri" w:cs="Calibri" w:eastAsia="Calibri" w:hAnsi="Calibri"/>
          <w:sz w:val="21"/>
          <w:szCs w:val="21"/>
        </w:rPr>
        <w:t xml:space="preserve">(2) ChatGPT's recorded response + your evaluation.</w:t>
      </w:r>
    </w:p>
    <w:p>
      <w:pPr>
        <w:pStyle w:val="ListParagraph"/>
        <w:numPr>
          <w:ilvl w:val="0"/>
          <w:numId w:val="2"/>
        </w:numPr>
        <w:spacing w:after="140"/>
      </w:pPr>
      <w:r>
        <w:rPr>
          <w:rFonts w:ascii="Calibri" w:cs="Calibri" w:eastAsia="Calibri" w:hAnsi="Calibri"/>
          <w:sz w:val="21"/>
          <w:szCs w:val="21"/>
        </w:rPr>
        <w:t xml:space="preserve">(3) 400-word DPDP Act Compliance Audit Report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Data Category Identification &amp; Consent Assessment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Data Fiduciary/Principal roles and specific data categories are correctly identified from the actual privacy policy; the three-dimension consent assessment (specificity, informed-ness, withdrawability) is evidence-based and correctly scored, with specific quotes or descriptions from the real policy.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Roles and data categories correctly identified; consent assessment reasonably evidenced.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Data categories are generic rather than specifically sourced from the policy; consent assessment lacks specific evidence for one dimension.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Data categories not correctly identified from the actual policy; consent assessment largely unevidenced.</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Cross-Border Transfer &amp; Penalty Research</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cross-border transfer finding is accurately sourced from the actual privacy policy (including correctly flagging an absence of disclosure as a gap); the penalty research is specific, sourced, and correctly matched to the relevant data category/breach type.</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Cross-border finding reasonably accurate; penalty research reasonably specific.</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Cross-border finding is vague; penalty research is generic or not matched to the specific scenario.</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Cross-border transfer not checked; penalty research not conducted or incorrect.</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Gap Prioritisation &amp; Audit Report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ChatGPT's response is recorded in full and genuinely evaluated with the student's own independent reasoning (agreeing or disagreeing); the Report synthesises all elements into one specific, actionable recommendation.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ChatGPT's response recorded and evaluated in general terms; Report covers most required elements.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ChatGPT's response accepted without evaluation; Report's recommendation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response recorded, or Report absent/below 250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bl>
    <w:p>
      <w:pPr>
        <w:pStyle w:val="Heading2"/>
        <w:pageBreakBefore/>
        <w:spacing w:after="160"/>
      </w:pPr>
      <w:r>
        <w:rPr>
          <w:rFonts w:ascii="Calibri" w:cs="Calibri" w:eastAsia="Calibri" w:hAnsi="Calibri"/>
          <w:b/>
          <w:bCs/>
          <w:color w:val="162A4A"/>
        </w:rPr>
        <w:t xml:space="preserve">Activity 14: Novartis v. Union of India &amp; Facebook-Cambridge Analytica Case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14</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Novartis v. Union of India &amp; Facebook-Cambridge Analytica Case Lab</w:t>
            </w:r>
          </w:p>
          <w:p>
            <w:pPr>
              <w:spacing w:after="0"/>
            </w:pPr>
            <w:r>
              <w:rPr>
                <w:rFonts w:ascii="Calibri" w:cs="Calibri" w:eastAsia="Calibri" w:hAnsi="Calibri"/>
                <w:i/>
                <w:iCs/>
                <w:color w:val="595959"/>
                <w:sz w:val="19"/>
                <w:szCs w:val="19"/>
              </w:rPr>
              <w:t xml:space="preserve">Unit 5 — Digital Law, Data Protection, Consumer Protection, IP and International Trade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[RollNo]_LAW_Act14</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The Novartis v. Union of India (2013) judgment on Section 3(d) of the Patents Act, 1970 is one of the most consequential Indian judicial decisions balancing pharmaceutical patent protection against public health access — understanding SPECIFICALLY why the Supreme Court denied Novartis's patent for Glivec (rejecting the claim of genuine 'enhanced efficacy' for a new form of a known substance) is essential legal literacy for any life-sciences, healthcare, or IP-adjacent role.</w:t>
      </w:r>
    </w:p>
    <w:p>
      <w:pPr>
        <w:pStyle w:val="ListParagraph"/>
        <w:numPr>
          <w:ilvl w:val="0"/>
          <w:numId w:val="2"/>
        </w:numPr>
        <w:spacing w:after="140"/>
      </w:pPr>
      <w:r>
        <w:rPr>
          <w:rFonts w:ascii="Calibri" w:cs="Calibri" w:eastAsia="Calibri" w:hAnsi="Calibri"/>
          <w:sz w:val="21"/>
          <w:szCs w:val="21"/>
        </w:rPr>
        <w:t xml:space="preserve">The Facebook-Cambridge Analytica case is the defining recent example of data-privacy regulatory and reputational risk at global platform scale, and connecting it to India's OWN data-protection framework (the DPDPA you audited in Activity 13) sharpens your understanding of what such a scandal would mean under India's specific legal regime.</w:t>
      </w:r>
    </w:p>
    <w:p>
      <w:pPr>
        <w:pStyle w:val="ListParagraph"/>
        <w:numPr>
          <w:ilvl w:val="0"/>
          <w:numId w:val="2"/>
        </w:numPr>
        <w:spacing w:after="140"/>
      </w:pPr>
      <w:r>
        <w:rPr>
          <w:rFonts w:ascii="Calibri" w:cs="Calibri" w:eastAsia="Calibri" w:hAnsi="Calibri"/>
          <w:sz w:val="21"/>
          <w:szCs w:val="21"/>
        </w:rPr>
        <w:t xml:space="preserve">Analysing these two very different cases together builds the skill of applying a narrow statutory test (Section 3(d)'s 'enhanced efficacy' standard) alongside a broader platform-governance and reputational-risk analysis — both are core skills for a general-management or compliance career.</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16"/>
        </w:numPr>
        <w:spacing w:after="160"/>
      </w:pPr>
      <w:r>
        <w:rPr>
          <w:rFonts w:ascii="Calibri" w:cs="Calibri" w:eastAsia="Calibri" w:hAnsi="Calibri"/>
          <w:sz w:val="21"/>
          <w:szCs w:val="21"/>
        </w:rPr>
        <w:t xml:space="preserve">Read about the Novartis v. Union of India (2013) Supreme Court judgment (via Indian Kanoon, indiankanoon.org, searching "Novartis Union of India Section 3d 2013", or the Novartis reference material for this unit) in enough depth to understand the actual dispute. In a Word document, write a 200-word summary of Novartis's patent claim over Glivec (imatinib mesylate) and why the Indian Patent Office and courts rejected it.</w:t>
      </w:r>
    </w:p>
    <w:p>
      <w:pPr>
        <w:pStyle w:val="ListParagraph"/>
        <w:numPr>
          <w:ilvl w:val="0"/>
          <w:numId w:val="16"/>
        </w:numPr>
        <w:spacing w:after="160"/>
      </w:pPr>
      <w:r>
        <w:rPr>
          <w:rFonts w:ascii="Calibri" w:cs="Calibri" w:eastAsia="Calibri" w:hAnsi="Calibri"/>
          <w:sz w:val="21"/>
          <w:szCs w:val="21"/>
        </w:rPr>
        <w:t xml:space="preserve">Explain Section 3(d) of the Patents Act, 1970 in your own words — what specifically does it require an applicant to show for a new form of a known substance to be patentable (genuine 'enhanced efficacy', not merely a new form or improved bioavailability alone) — and state SPECIFICALLY why the Supreme Court found Novartis had not met this standard for Glivec's beta-crystalline form.</w:t>
      </w:r>
    </w:p>
    <w:p>
      <w:pPr>
        <w:pStyle w:val="ListParagraph"/>
        <w:numPr>
          <w:ilvl w:val="0"/>
          <w:numId w:val="16"/>
        </w:numPr>
        <w:spacing w:after="160"/>
      </w:pPr>
      <w:r>
        <w:rPr>
          <w:rFonts w:ascii="Calibri" w:cs="Calibri" w:eastAsia="Calibri" w:hAnsi="Calibri"/>
          <w:sz w:val="21"/>
          <w:szCs w:val="21"/>
        </w:rPr>
        <w:t xml:space="preserve">State, in 150 words, the public-health rationale for Section 3(d) (preventing 'evergreening' of pharmaceutical patents to block generic competition) and one specific counter-argument a pharmaceutical innovator might reasonably make about the risk this creates for incentivising genuine incremental drug innovation.</w:t>
      </w:r>
    </w:p>
    <w:p>
      <w:pPr>
        <w:pStyle w:val="ListParagraph"/>
        <w:numPr>
          <w:ilvl w:val="0"/>
          <w:numId w:val="16"/>
        </w:numPr>
        <w:spacing w:after="160"/>
      </w:pPr>
      <w:r>
        <w:rPr>
          <w:rFonts w:ascii="Calibri" w:cs="Calibri" w:eastAsia="Calibri" w:hAnsi="Calibri"/>
          <w:sz w:val="21"/>
          <w:szCs w:val="21"/>
        </w:rPr>
        <w:t xml:space="preserve">Read about the Facebook Confronts a Crisis of Trust HBS case (318-145, hbsp.harvard.edu/product/318145-PDF-ENG) or the Facebook, Cambridge Analytica, and the (Uncertain) Future of Online Privacy Darden case (UV8106, hbsp.harvard.edu/product/UV8106-PDF-ENG). In 200 words, summarise the specific mechanism by which Cambridge Analytica obtained and misused Facebook user data (the third-party app permission model and data-sharing scope at the time).</w:t>
      </w:r>
    </w:p>
    <w:p>
      <w:pPr>
        <w:pStyle w:val="ListParagraph"/>
        <w:numPr>
          <w:ilvl w:val="0"/>
          <w:numId w:val="16"/>
        </w:numPr>
        <w:spacing w:after="160"/>
      </w:pPr>
      <w:r>
        <w:rPr>
          <w:rFonts w:ascii="Calibri" w:cs="Calibri" w:eastAsia="Calibri" w:hAnsi="Calibri"/>
          <w:sz w:val="21"/>
          <w:szCs w:val="21"/>
        </w:rPr>
        <w:t xml:space="preserve">Analyse, in 150 words, whether a Cambridge-Analytica-style data harvesting incident occurring TODAY on a platform operating in India would trigger specific obligations or penalties under the DPDP Act, 2023 (drawing on your Activity 13 research) — name the specific type of violation (consent scope, data-fiduciary obligations to third-party app access, or breach notification) most clearly implicated.</w:t>
      </w:r>
    </w:p>
    <w:p>
      <w:pPr>
        <w:pStyle w:val="ListParagraph"/>
        <w:numPr>
          <w:ilvl w:val="0"/>
          <w:numId w:val="16"/>
        </w:numPr>
        <w:spacing w:after="160"/>
      </w:pPr>
      <w:r>
        <w:rPr>
          <w:rFonts w:ascii="Calibri" w:cs="Calibri" w:eastAsia="Calibri" w:hAnsi="Calibri"/>
          <w:sz w:val="21"/>
          <w:szCs w:val="21"/>
        </w:rPr>
        <w:t xml:space="preserve">Open Claude (claude.ai). Send this prompt: "I have analysed the Novartis Section 3(d) case and the Facebook-Cambridge Analytica case. Here is my analysis: [paste your Steps 2-5]. Critique my analysis: (a) have I correctly stated what Section 3(d) actually requires, and (b) have I correctly identified the most relevant DPDP Act violation type for a Cambridge-Analytica-style incident today?" Record Claude's critique and revise your analysis if genuinely persuasive.</w:t>
      </w:r>
    </w:p>
    <w:p>
      <w:pPr>
        <w:pStyle w:val="ListParagraph"/>
        <w:numPr>
          <w:ilvl w:val="0"/>
          <w:numId w:val="16"/>
        </w:numPr>
        <w:spacing w:after="160"/>
      </w:pPr>
      <w:r>
        <w:rPr>
          <w:rFonts w:ascii="Calibri" w:cs="Calibri" w:eastAsia="Calibri" w:hAnsi="Calibri"/>
          <w:sz w:val="21"/>
          <w:szCs w:val="21"/>
        </w:rPr>
        <w:t xml:space="preserve">Write a 350-word Case Analysis Memo combining your Novartis Section 3(d) analysis and its public-health-vs-innovation tension, your Facebook/Cambridge Analytica summary and DPDP Act applicability analysis, and one specific parallel between the two cases about how Indian law balances a private commercial right (a patent, or a platform's data-driven business model) against a broader public interest (health access, or data privacy).</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Indian Kanoon</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Legal Research</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Locating and reading the Novartis v. Union of India (2013) judgment</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indiankanoon.org</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Facebook Confronts a Crisis of Trust — HBS Case (318-145) / Facebook, Cambridge Analytica... — Darden Case (UV8106)</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Case Material</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case text for the data-privacy scandal analysis</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hbsp.harvard.edu/product/318145-PDF-ENG / hbsp.harvard.edu/product/UV8106-PDF-ENG</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Claude (Sonnet)</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Critique</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Critiquing the Section 3(d) explanation and the DPDP Act applicability analysis</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claude.ai</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Novartis analysis, Facebook/Cambridge Analytica summary, DPDP Act applicability, and Case Analysis Memo</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Accurately explain Section 3(d) of the Patents Act, 1970 and correctly apply it to the Novartis judgment's actual reasoning.</w:t>
      </w:r>
    </w:p>
    <w:p>
      <w:pPr>
        <w:pStyle w:val="ListParagraph"/>
        <w:numPr>
          <w:ilvl w:val="0"/>
          <w:numId w:val="2"/>
        </w:numPr>
        <w:spacing w:after="140"/>
      </w:pPr>
      <w:r>
        <w:rPr>
          <w:rFonts w:ascii="Calibri" w:cs="Calibri" w:eastAsia="Calibri" w:hAnsi="Calibri"/>
          <w:sz w:val="21"/>
          <w:szCs w:val="21"/>
        </w:rPr>
        <w:t xml:space="preserve">Articulate the public-health rationale for anti-evergreening patent rules alongside a genuine counter-argument.</w:t>
      </w:r>
    </w:p>
    <w:p>
      <w:pPr>
        <w:pStyle w:val="ListParagraph"/>
        <w:numPr>
          <w:ilvl w:val="0"/>
          <w:numId w:val="2"/>
        </w:numPr>
        <w:spacing w:after="140"/>
      </w:pPr>
      <w:r>
        <w:rPr>
          <w:rFonts w:ascii="Calibri" w:cs="Calibri" w:eastAsia="Calibri" w:hAnsi="Calibri"/>
          <w:sz w:val="21"/>
          <w:szCs w:val="21"/>
        </w:rPr>
        <w:t xml:space="preserve">Accurately summarise the Facebook-Cambridge Analytica data-harvesting mechanism and correctly map it to specific DPDP Act, 2023 obligations.</w:t>
      </w:r>
    </w:p>
    <w:p>
      <w:pPr>
        <w:pStyle w:val="ListParagraph"/>
        <w:numPr>
          <w:ilvl w:val="0"/>
          <w:numId w:val="2"/>
        </w:numPr>
        <w:spacing w:after="140"/>
      </w:pPr>
      <w:r>
        <w:rPr>
          <w:rFonts w:ascii="Calibri" w:cs="Calibri" w:eastAsia="Calibri" w:hAnsi="Calibri"/>
          <w:sz w:val="21"/>
          <w:szCs w:val="21"/>
        </w:rPr>
        <w:t xml:space="preserve">Use AI to critique legal-doctrinal accuracy and draw a well-reasoned parallel between two distinct areas of law balancing private rights against public interest.</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200-word Novartis summary + Section 3(d) explanation and application + public-health rationale/counter-argument + 200-word Facebook/Cambridge Analytica summary + DPDP Act applicability analysis.</w:t>
      </w:r>
    </w:p>
    <w:p>
      <w:pPr>
        <w:pStyle w:val="ListParagraph"/>
        <w:numPr>
          <w:ilvl w:val="0"/>
          <w:numId w:val="2"/>
        </w:numPr>
        <w:spacing w:after="140"/>
      </w:pPr>
      <w:r>
        <w:rPr>
          <w:rFonts w:ascii="Calibri" w:cs="Calibri" w:eastAsia="Calibri" w:hAnsi="Calibri"/>
          <w:sz w:val="21"/>
          <w:szCs w:val="21"/>
        </w:rPr>
        <w:t xml:space="preserve">(2) Claude's recorded critique + your revision notes.</w:t>
      </w:r>
    </w:p>
    <w:p>
      <w:pPr>
        <w:pStyle w:val="ListParagraph"/>
        <w:numPr>
          <w:ilvl w:val="0"/>
          <w:numId w:val="2"/>
        </w:numPr>
        <w:spacing w:after="140"/>
      </w:pPr>
      <w:r>
        <w:rPr>
          <w:rFonts w:ascii="Calibri" w:cs="Calibri" w:eastAsia="Calibri" w:hAnsi="Calibri"/>
          <w:sz w:val="21"/>
          <w:szCs w:val="21"/>
        </w:rPr>
        <w:t xml:space="preserve">(3) 350-word Case Analysis Memo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Novartis &amp; Section 3(d) Analysis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summary and Section 3(d) explanation are accurate and specific, correctly stating the 'enhanced efficacy' standard and why Novartis failed to meet it; the public-health rationale and counter-argument are both specific and well-reasoned.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and explanation mostly accurate; rationale/counter-argument reasonably specific.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Section 3(d) explanation is imprecise or the application to Novartis is generic.</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Section 3(d) explanation incorrect or Novartis application absent.</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Facebook/Cambridge Analytica &amp; DPDP Act Applicability</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summary accurately captures the specific data-harvesting mechanism; the DPDP Act applicability analysis correctly identifies the most relevant violation type with sound reasoning.</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reasonably accurate; DPDP Act applicability reasonably identified.</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is generic; DPDP Act applicability analysis is vague or misidentifies the violation type.</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Summary inaccurate; DPDP Act applicability not attempted or incorrect.</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AI-Assisted Critique &amp; Cross-Case Memo</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is recorded in full and genuinely engaged with; the Memo draws a specific, well-reasoned, non-generic parallel between the two cases about private rights versus public interest.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and reasonably addressed; Memo's parallel is reasonable.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Claude's critique recorded but not clearly engaged with; Memo's parallel is superficial.</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AI critique recorded, or Memo absent/below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bl>
    <w:p>
      <w:pPr>
        <w:pStyle w:val="Heading2"/>
        <w:pageBreakBefore/>
        <w:spacing w:after="160"/>
      </w:pPr>
      <w:r>
        <w:rPr>
          <w:rFonts w:ascii="Calibri" w:cs="Calibri" w:eastAsia="Calibri" w:hAnsi="Calibri"/>
          <w:b/>
          <w:bCs/>
          <w:color w:val="162A4A"/>
        </w:rPr>
        <w:t xml:space="preserve">Activity 15: IP Portfolio &amp; International Trade Readiness Audit for a Real or Realistic Indian Product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shd w:fill="162A4A" w:color="auto" w:val="clear"/>
            <w:tcMar>
              <w:top w:type="dxa" w:w="160"/>
              <w:left w:type="dxa" w:w="160"/>
              <w:bottom w:type="dxa" w:w="160"/>
              <w:right w:type="dxa" w:w="160"/>
            </w:tcMar>
            <w:vAlign w:val="center"/>
          </w:tcPr>
          <w:p>
            <w:pPr>
              <w:spacing w:after="0"/>
            </w:pPr>
            <w:r>
              <w:rPr>
                <w:rFonts w:ascii="Calibri" w:cs="Calibri" w:eastAsia="Calibri" w:hAnsi="Calibri"/>
                <w:b/>
                <w:bCs/>
                <w:color w:val="C9D3E0"/>
                <w:sz w:val="18"/>
                <w:szCs w:val="18"/>
              </w:rPr>
              <w:t xml:space="preserve">ACTIVITY</w:t>
            </w:r>
          </w:p>
          <w:p>
            <w:pPr>
              <w:spacing w:after="0"/>
            </w:pPr>
            <w:r>
              <w:rPr>
                <w:rFonts w:ascii="Calibri" w:cs="Calibri" w:eastAsia="Calibri" w:hAnsi="Calibri"/>
                <w:b/>
                <w:bCs/>
                <w:color w:val="FFFFFF"/>
                <w:sz w:val="44"/>
                <w:szCs w:val="44"/>
              </w:rPr>
              <w:t xml:space="preserve">15</w:t>
            </w:r>
          </w:p>
        </w:tc>
        <w:tc>
          <w:tcPr>
            <w:tcW w:type="dxa" w:w="6626"/>
            <w:tcBorders>
              <w:top w:val="none" w:color="FFFFFF" w:sz="0"/>
              <w:left w:val="none" w:color="FFFFFF" w:sz="0"/>
              <w:bottom w:val="none" w:color="FFFFFF" w:sz="0"/>
              <w:right w:val="none" w:color="FFFFFF" w:sz="0"/>
            </w:tcBorders>
            <w:shd w:fill="DCE6F1" w:color="auto" w:val="clear"/>
            <w:tcMar>
              <w:top w:type="dxa" w:w="160"/>
              <w:left w:type="dxa" w:w="200"/>
              <w:bottom w:type="dxa" w:w="160"/>
              <w:right w:type="dxa" w:w="160"/>
            </w:tcMar>
            <w:vAlign w:val="center"/>
          </w:tcPr>
          <w:p>
            <w:pPr>
              <w:spacing w:after="60"/>
            </w:pPr>
            <w:r>
              <w:rPr>
                <w:rFonts w:ascii="Calibri" w:cs="Calibri" w:eastAsia="Calibri" w:hAnsi="Calibri"/>
                <w:b/>
                <w:bCs/>
                <w:color w:val="162A4A"/>
                <w:sz w:val="25"/>
                <w:szCs w:val="25"/>
              </w:rPr>
              <w:t xml:space="preserve">IP Portfolio &amp; International Trade Readiness Audit for a Real or Realistic Indian Product</w:t>
            </w:r>
          </w:p>
          <w:p>
            <w:pPr>
              <w:spacing w:after="0"/>
            </w:pPr>
            <w:r>
              <w:rPr>
                <w:rFonts w:ascii="Calibri" w:cs="Calibri" w:eastAsia="Calibri" w:hAnsi="Calibri"/>
                <w:i/>
                <w:iCs/>
                <w:color w:val="595959"/>
                <w:sz w:val="19"/>
                <w:szCs w:val="19"/>
              </w:rPr>
              <w:t xml:space="preserve">Unit 5 — Digital Law, Data Protection, Consumer Protection, IP and International Trade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3–4 hours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[RollNo]_LAW_Act15</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Every product with genuine commercial value needs a deliberate intellectual-property strategy — knowing which of patents, trademarks, copyright, designs, or geographical indications actually protects a given product's value, and searching the IP India portal to check the ACTUAL registration landscape, is a specific, practical skill this activity requires you to exercise directly.</w:t>
      </w:r>
    </w:p>
    <w:p>
      <w:pPr>
        <w:pStyle w:val="ListParagraph"/>
        <w:numPr>
          <w:ilvl w:val="0"/>
          <w:numId w:val="2"/>
        </w:numPr>
        <w:spacing w:after="140"/>
      </w:pPr>
      <w:r>
        <w:rPr>
          <w:rFonts w:ascii="Calibri" w:cs="Calibri" w:eastAsia="Calibri" w:hAnsi="Calibri"/>
          <w:sz w:val="21"/>
          <w:szCs w:val="21"/>
        </w:rPr>
        <w:t xml:space="preserve">AI-generated content's copyright status is a live, unresolved area of Indian and global IP law — this activity requires you to research and report the CURRENT, evolving position rather than assume a settled answer, which is intellectually honest given the field's actual state.</w:t>
      </w:r>
    </w:p>
    <w:p>
      <w:pPr>
        <w:pStyle w:val="ListParagraph"/>
        <w:numPr>
          <w:ilvl w:val="0"/>
          <w:numId w:val="2"/>
        </w:numPr>
        <w:spacing w:after="140"/>
      </w:pPr>
      <w:r>
        <w:rPr>
          <w:rFonts w:ascii="Calibri" w:cs="Calibri" w:eastAsia="Calibri" w:hAnsi="Calibri"/>
          <w:sz w:val="21"/>
          <w:szCs w:val="21"/>
        </w:rPr>
        <w:t xml:space="preserve">For any Indian product with export ambition, understanding the basic international sale-contract framework (CISG), the WTO/FTA landscape, and cross-border dispute-resolution options is essential go-to-market literacy for a founder or manager who is not a trade lawyer but must still ask the right questions.</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STEP-BY-STEP INSTRUCTIONS</w:t>
            </w:r>
          </w:p>
        </w:tc>
      </w:tr>
    </w:tbl>
    <w:p>
      <w:pPr>
        <w:spacing w:after="100"/>
      </w:pPr>
    </w:p>
    <w:p>
      <w:pPr>
        <w:pStyle w:val="ListParagraph"/>
        <w:numPr>
          <w:ilvl w:val="0"/>
          <w:numId w:val="17"/>
        </w:numPr>
        <w:spacing w:after="160"/>
      </w:pPr>
      <w:r>
        <w:rPr>
          <w:rFonts w:ascii="Calibri" w:cs="Calibri" w:eastAsia="Calibri" w:hAnsi="Calibri"/>
          <w:sz w:val="21"/>
          <w:szCs w:val="21"/>
        </w:rPr>
        <w:t xml:space="preserve">Choose ONE real or realistic Indian product or brand (for example, a specific food product, a piece of software, a fashion/textile product, or a consumer electronics device) with genuine export or scaling potential. State the product and its distinguishing features in 100 words.</w:t>
      </w:r>
    </w:p>
    <w:p>
      <w:pPr>
        <w:pStyle w:val="ListParagraph"/>
        <w:numPr>
          <w:ilvl w:val="0"/>
          <w:numId w:val="17"/>
        </w:numPr>
        <w:spacing w:after="160"/>
      </w:pPr>
      <w:r>
        <w:rPr>
          <w:rFonts w:ascii="Calibri" w:cs="Calibri" w:eastAsia="Calibri" w:hAnsi="Calibri"/>
          <w:sz w:val="21"/>
          <w:szCs w:val="21"/>
        </w:rPr>
        <w:t xml:space="preserve">Identify which of the following IP protections are MOST relevant to protecting this specific product's commercial value, and which are NOT relevant, with reasoning for each: Patent (for a genuine technical invention), Trademark (for the brand name/logo), Copyright (for original creative content, such as packaging design or software code), Design (for the product's visual/ornamental appearance), and Geographical Indication (if the product has a specific regional origin character, such as a specific textile or food product tied to a place).</w:t>
      </w:r>
    </w:p>
    <w:p>
      <w:pPr>
        <w:pStyle w:val="ListParagraph"/>
        <w:numPr>
          <w:ilvl w:val="0"/>
          <w:numId w:val="17"/>
        </w:numPr>
        <w:spacing w:after="160"/>
      </w:pPr>
      <w:r>
        <w:rPr>
          <w:rFonts w:ascii="Calibri" w:cs="Calibri" w:eastAsia="Calibri" w:hAnsi="Calibri"/>
          <w:sz w:val="21"/>
          <w:szCs w:val="21"/>
        </w:rPr>
        <w:t xml:space="preserve">Visit the IP India portal (ipindia.gov.in) and use its public search tools to check whether a similar trademark (search for a plausible brand name in your product's category) or a similar registered design already exists in that category — record what you find (or note if the search interface required navigation you could not complete, describing what you observed).</w:t>
      </w:r>
    </w:p>
    <w:p>
      <w:pPr>
        <w:pStyle w:val="ListParagraph"/>
        <w:numPr>
          <w:ilvl w:val="0"/>
          <w:numId w:val="17"/>
        </w:numPr>
        <w:spacing w:after="160"/>
      </w:pPr>
      <w:r>
        <w:rPr>
          <w:rFonts w:ascii="Calibri" w:cs="Calibri" w:eastAsia="Calibri" w:hAnsi="Calibri"/>
          <w:sz w:val="21"/>
          <w:szCs w:val="21"/>
        </w:rPr>
        <w:t xml:space="preserve">If your product involves any AI-generated content (a logo, packaging design, or marketing copy created with AI assistance), research (using Perplexity AI, perplexity.ai) the CURRENT state of Indian and international law on whether AI-generated content is copyrightable, and who (if anyone) would hold that copyright — report this with appropriate acknowledgement of genuine legal uncertainty rather than a false definitive answer.</w:t>
      </w:r>
    </w:p>
    <w:p>
      <w:pPr>
        <w:pStyle w:val="ListParagraph"/>
        <w:numPr>
          <w:ilvl w:val="0"/>
          <w:numId w:val="17"/>
        </w:numPr>
        <w:spacing w:after="160"/>
      </w:pPr>
      <w:r>
        <w:rPr>
          <w:rFonts w:ascii="Calibri" w:cs="Calibri" w:eastAsia="Calibri" w:hAnsi="Calibri"/>
          <w:sz w:val="21"/>
          <w:szCs w:val="21"/>
        </w:rPr>
        <w:t xml:space="preserve">State whether your product has plausible international export potential, and if so, identify ONE relevant consideration from: the CISG (UN Convention on Contracts for the International Sale of Goods) framework for the international sale contract, a specific WTO principle (such as most-favoured-nation treatment) relevant to market access, or a specific India Free Trade Agreement (FTA) that could affect tariff treatment for your product's likely export market — research and cite what you find.</w:t>
      </w:r>
    </w:p>
    <w:p>
      <w:pPr>
        <w:pStyle w:val="ListParagraph"/>
        <w:numPr>
          <w:ilvl w:val="0"/>
          <w:numId w:val="17"/>
        </w:numPr>
        <w:spacing w:after="160"/>
      </w:pPr>
      <w:r>
        <w:rPr>
          <w:rFonts w:ascii="Calibri" w:cs="Calibri" w:eastAsia="Calibri" w:hAnsi="Calibri"/>
          <w:sz w:val="21"/>
          <w:szCs w:val="21"/>
        </w:rPr>
        <w:t xml:space="preserve">Open ChatGPT (chat.openai.com). Send this prompt: "Here is my IP protection analysis and international trade readiness assessment for [product]: [paste your Steps 2-5]. What is the SINGLE most urgent IP or trade-law action this company should take in its first 6 months, and why does it rank above the others?" Record ChatGPT's response and state your own evaluation.</w:t>
      </w:r>
    </w:p>
    <w:p>
      <w:pPr>
        <w:pStyle w:val="ListParagraph"/>
        <w:numPr>
          <w:ilvl w:val="0"/>
          <w:numId w:val="17"/>
        </w:numPr>
        <w:spacing w:after="160"/>
      </w:pPr>
      <w:r>
        <w:rPr>
          <w:rFonts w:ascii="Calibri" w:cs="Calibri" w:eastAsia="Calibri" w:hAnsi="Calibri"/>
          <w:sz w:val="21"/>
          <w:szCs w:val="21"/>
        </w:rPr>
        <w:t xml:space="preserve">Write a 350-word IP &amp; International Trade Readiness Report combining your IP-relevance analysis, your IP India portal search findings, your AI-copyright research (appropriately hedged), your international trade consideration, and ChatGPT's prioritised action with your own evaluation.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IP India Portal</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IP Registration Search</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Checking for existing similar trademarks or registered designs in the product's category</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ipindia.gov.in</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Perplexity AI</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Legal Research</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Researching the current, evolving state of AI-generated content copyrightability and relevant trade-law considerations</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perplexity.ai</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ChatGPT (GPT-4o / GPT-5)</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LLM — Action Prioritisation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Recommending and ranking the single most urgent IP/trade-law action</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chat.openai.com</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Documentation</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IP-relevance analysis, portal search findings, trade-readiness assessment, and IP &amp; Trade Readiness Report</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Correctly identify which IP protections (patent, trademark, copyright, design, GI) are relevant to a specific real product, and which are not.</w:t>
      </w:r>
    </w:p>
    <w:p>
      <w:pPr>
        <w:pStyle w:val="ListParagraph"/>
        <w:numPr>
          <w:ilvl w:val="0"/>
          <w:numId w:val="2"/>
        </w:numPr>
        <w:spacing w:after="140"/>
      </w:pPr>
      <w:r>
        <w:rPr>
          <w:rFonts w:ascii="Calibri" w:cs="Calibri" w:eastAsia="Calibri" w:hAnsi="Calibri"/>
          <w:sz w:val="21"/>
          <w:szCs w:val="21"/>
        </w:rPr>
        <w:t xml:space="preserve">Use the IP India portal's public search tools to check the actual trademark/design registration landscape for a product category.</w:t>
      </w:r>
    </w:p>
    <w:p>
      <w:pPr>
        <w:pStyle w:val="ListParagraph"/>
        <w:numPr>
          <w:ilvl w:val="0"/>
          <w:numId w:val="2"/>
        </w:numPr>
        <w:spacing w:after="140"/>
      </w:pPr>
      <w:r>
        <w:rPr>
          <w:rFonts w:ascii="Calibri" w:cs="Calibri" w:eastAsia="Calibri" w:hAnsi="Calibri"/>
          <w:sz w:val="21"/>
          <w:szCs w:val="21"/>
        </w:rPr>
        <w:t xml:space="preserve">Research and report the current, genuinely evolving state of AI-generated content copyright law with appropriate calibration rather than false certainty.</w:t>
      </w:r>
    </w:p>
    <w:p>
      <w:pPr>
        <w:pStyle w:val="ListParagraph"/>
        <w:numPr>
          <w:ilvl w:val="0"/>
          <w:numId w:val="2"/>
        </w:numPr>
        <w:spacing w:after="140"/>
      </w:pPr>
      <w:r>
        <w:rPr>
          <w:rFonts w:ascii="Calibri" w:cs="Calibri" w:eastAsia="Calibri" w:hAnsi="Calibri"/>
          <w:sz w:val="21"/>
          <w:szCs w:val="21"/>
        </w:rPr>
        <w:t xml:space="preserve">Identify a specific, relevant international trade-law consideration (CISG, WTO, or FTA) for a product's export readiness, and use AI to prioritise the most urgent action.</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Word document — product description + IP-relevance analysis (all five protection types) + IP India portal search findings + AI-copyright research + international trade consideration with source.</w:t>
      </w:r>
    </w:p>
    <w:p>
      <w:pPr>
        <w:pStyle w:val="ListParagraph"/>
        <w:numPr>
          <w:ilvl w:val="0"/>
          <w:numId w:val="2"/>
        </w:numPr>
        <w:spacing w:after="140"/>
      </w:pPr>
      <w:r>
        <w:rPr>
          <w:rFonts w:ascii="Calibri" w:cs="Calibri" w:eastAsia="Calibri" w:hAnsi="Calibri"/>
          <w:sz w:val="21"/>
          <w:szCs w:val="21"/>
        </w:rPr>
        <w:t xml:space="preserve">(2) ChatGPT's recorded prioritisation response + your evaluation.</w:t>
      </w:r>
    </w:p>
    <w:p>
      <w:pPr>
        <w:pStyle w:val="ListParagraph"/>
        <w:numPr>
          <w:ilvl w:val="0"/>
          <w:numId w:val="2"/>
        </w:numPr>
        <w:spacing w:after="140"/>
      </w:pPr>
      <w:r>
        <w:rPr>
          <w:rFonts w:ascii="Calibri" w:cs="Calibri" w:eastAsia="Calibri" w:hAnsi="Calibri"/>
          <w:sz w:val="21"/>
          <w:szCs w:val="21"/>
        </w:rPr>
        <w:t xml:space="preserve">(3) 350-word IP &amp; International Trade Readiness Report as PDF, file named per convention below.</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IP-Relevance Analysis &amp; Portal Search</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All five IP protection types are correctly assessed as relevant or not, with specific product-grounded reasoning; the IP India portal search is genuinely conducted with specific, credible findings reported (or specific, credible navigation obstacles described).</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Most IP types correctly assessed; portal search conducted with reasonable findings.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IP-relevance analysis is generic for one or more types; portal search is superficial or not clearly genuine.</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IP-relevance analysis largely incorrect; portal search not attempted.</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AI-Copyright Research Calibration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AI-generated content copyright research is genuine, sourced, and reports the actual evolving legal uncertainty rather than a false definitive answer.</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Research reasonably sourced with appropriate calibration.</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Research is thin or overstates certainty.</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genuine research conducted, or a false definitive answer is asserted.</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25%</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International Trade Consideration &amp; AI-Assisted Report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The trade-law consideration (CISG/WTO/FTA) is specific, correctly researched, and relevant to the product's actual export market; ChatGPT's prioritisation is recorded in full and genuinely evaluated; the Report synthesises all elements coherently.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Trade consideration reasonably specific; AI prioritisation recorded and evaluated in general terms.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Trade consideration is generic; AI prioritisation accepted without evaluation.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No trade-law consideration researched, or Report absent/below 200 words.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35%</w:t>
            </w:r>
          </w:p>
        </w:tc>
      </w:tr>
    </w:tbl>
    <w:p>
      <w:pPr>
        <w:pStyle w:val="Heading1"/>
        <w:pageBreakBefore/>
        <w:spacing w:after="100"/>
      </w:pPr>
      <w:r>
        <w:rPr>
          <w:rFonts w:ascii="Calibri" w:cs="Calibri" w:eastAsia="Calibri" w:hAnsi="Calibri"/>
          <w:b/>
          <w:bCs/>
          <w:color w:val="162A4A"/>
        </w:rPr>
        <w:t xml:space="preserve">CAPSTONE — Integrated Legal Risk &amp; Compliance Report with Simulated Negotiation</w:t>
      </w:r>
    </w:p>
    <w:p>
      <w:pPr>
        <w:spacing w:after="240"/>
      </w:pPr>
      <w:r>
        <w:rPr>
          <w:rFonts w:ascii="Calibri" w:cs="Calibri" w:eastAsia="Calibri" w:hAnsi="Calibri"/>
          <w:i/>
          <w:iCs/>
          <w:color w:val="595959"/>
          <w:sz w:val="21"/>
          <w:szCs w:val="21"/>
        </w:rPr>
        <w:t xml:space="preserve">The Capstone activity integrates every framework from Activities 1–15 into a single, professionally written legal risk and compliance report for one real or realistic Indian company/startup of your choice, culminating in a simulated negotiation or mock arbitration exercise mirroring Assessment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Estimated Time:  </w:t>
            </w:r>
            <w:r>
              <w:rPr>
                <w:rFonts w:ascii="Calibri" w:cs="Calibri" w:eastAsia="Calibri" w:hAnsi="Calibri"/>
                <w:sz w:val="19"/>
                <w:szCs w:val="19"/>
              </w:rPr>
              <w:t xml:space="preserve">15–20 hours (self-paced over 2 weeks)</w:t>
            </w:r>
          </w:p>
        </w:tc>
        <w:tc>
          <w:tcPr>
            <w:tcW w:type="dxa" w:w="3008"/>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Mode:  </w:t>
            </w:r>
            <w:r>
              <w:rPr>
                <w:rFonts w:ascii="Calibri" w:cs="Calibri" w:eastAsia="Calibri" w:hAnsi="Calibri"/>
                <w:sz w:val="19"/>
                <w:szCs w:val="19"/>
              </w:rPr>
              <w:t xml:space="preserve">Individual (report) / In-class presentation</w:t>
            </w:r>
          </w:p>
        </w:tc>
        <w:tc>
          <w:tcPr>
            <w:tcW w:type="dxa" w:w="301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tcPr>
          <w:p>
            <w:pPr>
              <w:spacing w:after="0"/>
            </w:pPr>
            <w:r>
              <w:rPr>
                <w:rFonts w:ascii="Calibri" w:cs="Calibri" w:eastAsia="Calibri" w:hAnsi="Calibri"/>
                <w:b/>
                <w:bCs/>
                <w:color w:val="162A4A"/>
                <w:sz w:val="19"/>
                <w:szCs w:val="19"/>
              </w:rPr>
              <w:t xml:space="preserve">File Naming:  </w:t>
            </w:r>
            <w:r>
              <w:rPr>
                <w:rFonts w:ascii="Calibri" w:cs="Calibri" w:eastAsia="Calibri" w:hAnsi="Calibri"/>
                <w:sz w:val="19"/>
                <w:szCs w:val="19"/>
              </w:rPr>
              <w:t xml:space="preserve">[RollNo]_LAW_Capstone</w:t>
            </w:r>
          </w:p>
        </w:tc>
      </w:tr>
    </w:tbl>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WHY THIS ACTIVITY</w:t>
            </w:r>
          </w:p>
        </w:tc>
      </w:tr>
    </w:tbl>
    <w:p>
      <w:pPr>
        <w:spacing w:after="100"/>
      </w:pPr>
    </w:p>
    <w:p>
      <w:pPr>
        <w:pStyle w:val="ListParagraph"/>
        <w:numPr>
          <w:ilvl w:val="0"/>
          <w:numId w:val="2"/>
        </w:numPr>
        <w:spacing w:after="140"/>
      </w:pPr>
      <w:r>
        <w:rPr>
          <w:rFonts w:ascii="Calibri" w:cs="Calibri" w:eastAsia="Calibri" w:hAnsi="Calibri"/>
          <w:sz w:val="21"/>
          <w:szCs w:val="21"/>
        </w:rPr>
        <w:t xml:space="preserve">The capstone integrates every legal lens from Activities 1–15 — dispute resolution and legal due diligence, contract drafting, transaction and entity structuring, corporate governance and competition law, and digital/consumer/IP/trade compliance — into a single, professionally written legal risk narrative about one real business. This is exactly the type of document produced by in-house counsel, compliance officers, and legal/regulatory consultants.</w:t>
      </w:r>
    </w:p>
    <w:p>
      <w:pPr>
        <w:pStyle w:val="ListParagraph"/>
        <w:numPr>
          <w:ilvl w:val="0"/>
          <w:numId w:val="2"/>
        </w:numPr>
        <w:spacing w:after="140"/>
      </w:pPr>
      <w:r>
        <w:rPr>
          <w:rFonts w:ascii="Calibri" w:cs="Calibri" w:eastAsia="Calibri" w:hAnsi="Calibri"/>
          <w:sz w:val="21"/>
          <w:szCs w:val="21"/>
        </w:rPr>
        <w:t xml:space="preserve">The meta-skill being tested is synthesis across legal domains — the ability to move from foundational dispute-resolution and contract choices, through entity and governance structuring, to digital-era compliance, in one coherent risk assessment for a single company. Applying each legal framework separately from a textbook is relatively straightforward; carrying one business through the full integrated legal-risk pipeline is the harder and more valuable skill.</w:t>
      </w:r>
    </w:p>
    <w:p>
      <w:pPr>
        <w:pStyle w:val="ListParagraph"/>
        <w:numPr>
          <w:ilvl w:val="0"/>
          <w:numId w:val="2"/>
        </w:numPr>
        <w:spacing w:after="140"/>
      </w:pPr>
      <w:r>
        <w:rPr>
          <w:rFonts w:ascii="Calibri" w:cs="Calibri" w:eastAsia="Calibri" w:hAnsi="Calibri"/>
          <w:sz w:val="21"/>
          <w:szCs w:val="21"/>
        </w:rPr>
        <w:t xml:space="preserve">This report and the accompanying negotiation/mock arbitration exercise are portfolio-ready. In placement season, recruiters in general management, consulting, compliance, product, and strategy roles will ask you to reason through a real legal-risk scenario end-to-end. This is your answer.</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CAPSTONE STRUCTURE — 7 SECTIONS</w:t>
            </w:r>
          </w:p>
        </w:tc>
      </w:tr>
    </w:tbl>
    <w:p>
      <w:pPr>
        <w:spacing w:after="100"/>
      </w:pPr>
    </w:p>
    <w:p>
      <w:pPr>
        <w:pStyle w:val="ListParagraph"/>
        <w:numPr>
          <w:ilvl w:val="0"/>
          <w:numId w:val="18"/>
        </w:numPr>
        <w:spacing w:after="80"/>
      </w:pPr>
      <w:r>
        <w:rPr>
          <w:rFonts w:ascii="Calibri" w:cs="Calibri" w:eastAsia="Calibri" w:hAnsi="Calibri"/>
          <w:b/>
          <w:bCs/>
          <w:sz w:val="21"/>
          <w:szCs w:val="21"/>
        </w:rPr>
        <w:t xml:space="preserve">Section 1 — Business Context &amp; Legal Risk Landscape (Target: 250 words): </w:t>
      </w:r>
      <w:r>
        <w:rPr>
          <w:rFonts w:ascii="Calibri" w:cs="Calibri" w:eastAsia="Calibri" w:hAnsi="Calibri"/>
          <w:sz w:val="21"/>
          <w:szCs w:val="21"/>
        </w:rPr>
        <w:t xml:space="preserve">Choose a real or realistic Indian company/startup you have not used as your primary focus in any previous activity. State its business model and identify which courts/tribunals/regulators (NCLT/NCLAT, CCI, Consumer Commissions) are most relevant to its risk profile (carrying forward Unit 1's regulatory-architecture lens).</w:t>
      </w:r>
    </w:p>
    <w:p>
      <w:pPr>
        <w:pStyle w:val="ListParagraph"/>
        <w:numPr>
          <w:ilvl w:val="0"/>
          <w:numId w:val="18"/>
        </w:numPr>
        <w:spacing w:after="80"/>
      </w:pPr>
      <w:r>
        <w:rPr>
          <w:rFonts w:ascii="Calibri" w:cs="Calibri" w:eastAsia="Calibri" w:hAnsi="Calibri"/>
          <w:b/>
          <w:bCs/>
          <w:sz w:val="21"/>
          <w:szCs w:val="21"/>
        </w:rPr>
        <w:t xml:space="preserve">Section 2 — Contract &amp; Dispute Resolution Strategy (Target: 300 words): </w:t>
      </w:r>
      <w:r>
        <w:rPr>
          <w:rFonts w:ascii="Calibri" w:cs="Calibri" w:eastAsia="Calibri" w:hAnsi="Calibri"/>
          <w:sz w:val="21"/>
          <w:szCs w:val="21"/>
        </w:rPr>
        <w:t xml:space="preserve">State the company's most important category of commercial contract (a customer, supplier, or partnership agreement) and identify the essential clauses it must contain (carrying forward Activities 4–6). Recommend a specific ADR/dispute-resolution clause structure for this contract type, with justification (carrying forward Activity 3).</w:t>
      </w:r>
    </w:p>
    <w:p>
      <w:pPr>
        <w:pStyle w:val="ListParagraph"/>
        <w:numPr>
          <w:ilvl w:val="0"/>
          <w:numId w:val="18"/>
        </w:numPr>
        <w:spacing w:after="80"/>
      </w:pPr>
      <w:r>
        <w:rPr>
          <w:rFonts w:ascii="Calibri" w:cs="Calibri" w:eastAsia="Calibri" w:hAnsi="Calibri"/>
          <w:b/>
          <w:bCs/>
          <w:sz w:val="21"/>
          <w:szCs w:val="21"/>
        </w:rPr>
        <w:t xml:space="preserve">Section 3 — Entity, Governance &amp; Competition Law Risk (Target: 350 words): </w:t>
      </w:r>
      <w:r>
        <w:rPr>
          <w:rFonts w:ascii="Calibri" w:cs="Calibri" w:eastAsia="Calibri" w:hAnsi="Calibri"/>
          <w:sz w:val="21"/>
          <w:szCs w:val="21"/>
        </w:rPr>
        <w:t xml:space="preserve">State the company's business-entity structure and assess whether it remains appropriate as the company scales (carrying forward Activity 9). Assess its corporate governance risk profile (board composition, related-party transactions) and any competition-law exposure relevant to its market conduct (carrying forward Activities 10–12).</w:t>
      </w:r>
    </w:p>
    <w:p>
      <w:pPr>
        <w:pStyle w:val="ListParagraph"/>
        <w:numPr>
          <w:ilvl w:val="0"/>
          <w:numId w:val="18"/>
        </w:numPr>
        <w:spacing w:after="80"/>
      </w:pPr>
      <w:r>
        <w:rPr>
          <w:rFonts w:ascii="Calibri" w:cs="Calibri" w:eastAsia="Calibri" w:hAnsi="Calibri"/>
          <w:b/>
          <w:bCs/>
          <w:sz w:val="21"/>
          <w:szCs w:val="21"/>
        </w:rPr>
        <w:t xml:space="preserve">Section 4 — Data Protection, Consumer Protection &amp; IP Compliance (Target: 300 words): </w:t>
      </w:r>
      <w:r>
        <w:rPr>
          <w:rFonts w:ascii="Calibri" w:cs="Calibri" w:eastAsia="Calibri" w:hAnsi="Calibri"/>
          <w:sz w:val="21"/>
          <w:szCs w:val="21"/>
        </w:rPr>
        <w:t xml:space="preserve">Assess the company's DPDP Act, 2023 compliance posture (carrying forward Activity 13) and Consumer Protection Act, 2019 exposure if it is consumer-facing. State its IP protection strategy across relevant categories (carrying forward Activity 15).</w:t>
      </w:r>
    </w:p>
    <w:p>
      <w:pPr>
        <w:pStyle w:val="ListParagraph"/>
        <w:numPr>
          <w:ilvl w:val="0"/>
          <w:numId w:val="18"/>
        </w:numPr>
        <w:spacing w:after="80"/>
      </w:pPr>
      <w:r>
        <w:rPr>
          <w:rFonts w:ascii="Calibri" w:cs="Calibri" w:eastAsia="Calibri" w:hAnsi="Calibri"/>
          <w:b/>
          <w:bCs/>
          <w:sz w:val="21"/>
          <w:szCs w:val="21"/>
        </w:rPr>
        <w:t xml:space="preserve">Section 5 — Simulated Negotiation or Mock Arbitration Exercise (Target: 350 words): </w:t>
      </w:r>
      <w:r>
        <w:rPr>
          <w:rFonts w:ascii="Calibri" w:cs="Calibri" w:eastAsia="Calibri" w:hAnsi="Calibri"/>
          <w:sz w:val="21"/>
          <w:szCs w:val="21"/>
        </w:rPr>
        <w:t xml:space="preserve">Construct a realistic commercial dispute scenario involving your chosen company (a breach of contract, a data-protection complaint, or a competition-law investigation). Draft both parties' opening negotiation positions (or, if arbitration, both parties' key arguments) and a resolution outcome, explicitly applying the ADR/arbitration framework from Section 2 and the ATNA/principled-negotiation-equivalent reasoning appropriate to a legal dispute.</w:t>
      </w:r>
    </w:p>
    <w:p>
      <w:pPr>
        <w:pStyle w:val="ListParagraph"/>
        <w:numPr>
          <w:ilvl w:val="0"/>
          <w:numId w:val="18"/>
        </w:numPr>
        <w:spacing w:after="80"/>
      </w:pPr>
      <w:r>
        <w:rPr>
          <w:rFonts w:ascii="Calibri" w:cs="Calibri" w:eastAsia="Calibri" w:hAnsi="Calibri"/>
          <w:b/>
          <w:bCs/>
          <w:sz w:val="21"/>
          <w:szCs w:val="21"/>
        </w:rPr>
        <w:t xml:space="preserve">Section 6 — International Trade &amp; Contemporary Legal Risk (Target: 250 words): </w:t>
      </w:r>
      <w:r>
        <w:rPr>
          <w:rFonts w:ascii="Calibri" w:cs="Calibri" w:eastAsia="Calibri" w:hAnsi="Calibri"/>
          <w:sz w:val="21"/>
          <w:szCs w:val="21"/>
        </w:rPr>
        <w:t xml:space="preserve">If the company has export or cross-border potential, state one relevant CISG/WTO/FTA consideration (carrying forward Activity 15). State one contemporary legal-technology or AI-related legal risk (AI-assisted contract review reliability, AI-generated content copyright, or algorithmic competition-law risk) relevant to the company.</w:t>
      </w:r>
    </w:p>
    <w:p>
      <w:pPr>
        <w:pStyle w:val="ListParagraph"/>
        <w:numPr>
          <w:ilvl w:val="0"/>
          <w:numId w:val="18"/>
        </w:numPr>
        <w:spacing w:after="80"/>
      </w:pPr>
      <w:r>
        <w:rPr>
          <w:rFonts w:ascii="Calibri" w:cs="Calibri" w:eastAsia="Calibri" w:hAnsi="Calibri"/>
          <w:b/>
          <w:bCs/>
          <w:sz w:val="21"/>
          <w:szCs w:val="21"/>
        </w:rPr>
        <w:t xml:space="preserve">Section 7 — Forward-Looking Synthesis &amp; Presentation (Target: 200 words): </w:t>
      </w:r>
      <w:r>
        <w:rPr>
          <w:rFonts w:ascii="Calibri" w:cs="Calibri" w:eastAsia="Calibri" w:hAnsi="Calibri"/>
          <w:sz w:val="21"/>
          <w:szCs w:val="21"/>
        </w:rPr>
        <w:t xml:space="preserve">State your final integrated legal-risk recommendation and the single most important legal risk or assumption that, if wrong, would change it. Requirements: every legal claim must have a named, dated source (a statute, a case citation, or a regulatory portal) or an explicitly labelled assumption; every AI-generated legal claim must be independently verified given the known fabrication risk in AI legal research; the full report must be 2,000–2,200 words excluding tables and citations. Prepare an 8-slide presentation (max) for a 5-minute in-class delivery followed by 5 minutes of faculty Q&amp;A, using Gamma (gamma.app) or Canva AI (canva.com).</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AI TOOLS &amp; PLATFORMS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00"/>
        <w:gridCol w:w="1726"/>
      </w:tblGrid>
      <w:tr>
        <w:trPr>
          <w:tblHeader/>
        </w:trPr>
        <w:tc>
          <w:tcPr>
            <w:tcW w:type="dxa" w:w="24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Tool / Platform</w:t>
            </w:r>
          </w:p>
        </w:tc>
        <w:tc>
          <w:tcPr>
            <w:tcW w:type="dxa" w:w="17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Category</w:t>
            </w:r>
          </w:p>
        </w:tc>
        <w:tc>
          <w:tcPr>
            <w:tcW w:type="dxa" w:w="32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Purpose in this Activity</w:t>
            </w:r>
          </w:p>
        </w:tc>
        <w:tc>
          <w:tcPr>
            <w:tcW w:type="dxa" w:w="1726"/>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9"/>
                <w:szCs w:val="19"/>
              </w:rPr>
              <w:t xml:space="preserve">How to Access</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All tools from Activities 1–15 (integrated)</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Full Legal &amp; AI Toolkit</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Use ChatGPT, Claude, Perplexity AI, Indian Kanoon, MCA21, IP India, and Word as appropriate for each section</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See individual activities for URLs</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Indian Kanoon / Supreme Court of India Portal</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Primary Legal Research</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Case citations and judgment verification if a landmark judgment is referenced</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indiankanoon.org / main.sci.gov.in</w:t>
            </w:r>
          </w:p>
        </w:tc>
      </w:tr>
      <w:tr>
        <w:tc>
          <w:tcPr>
            <w:tcW w:type="dxa" w:w="24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Gamma / Canva AI</w:t>
            </w:r>
          </w:p>
        </w:tc>
        <w:tc>
          <w:tcPr>
            <w:tcW w:type="dxa" w:w="17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Presentation</w:t>
            </w:r>
          </w:p>
        </w:tc>
        <w:tc>
          <w:tcPr>
            <w:tcW w:type="dxa" w:w="32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Building the 8-slide in-class presentation in professional AI-assisted design</w:t>
            </w:r>
          </w:p>
        </w:tc>
        <w:tc>
          <w:tcPr>
            <w:tcW w:type="dxa" w:w="1726"/>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gamma.app / canva.com</w:t>
            </w:r>
          </w:p>
        </w:tc>
      </w:tr>
      <w:tr>
        <w:tc>
          <w:tcPr>
            <w:tcW w:type="dxa" w:w="24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9"/>
                <w:szCs w:val="19"/>
              </w:rPr>
              <w:t xml:space="preserve">Microsoft Word</w:t>
            </w:r>
          </w:p>
        </w:tc>
        <w:tc>
          <w:tcPr>
            <w:tcW w:type="dxa" w:w="17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Report Writing</w:t>
            </w:r>
          </w:p>
        </w:tc>
        <w:tc>
          <w:tcPr>
            <w:tcW w:type="dxa" w:w="32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2,000–2,200 word integrative report formatted to professional standard</w:t>
            </w:r>
          </w:p>
        </w:tc>
        <w:tc>
          <w:tcPr>
            <w:tcW w:type="dxa" w:w="1726"/>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9"/>
                <w:szCs w:val="19"/>
              </w:rPr>
              <w:t xml:space="preserve">Office 365 / Installed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LEARNING OUTCOMES</w:t>
            </w:r>
          </w:p>
        </w:tc>
      </w:tr>
    </w:tbl>
    <w:p>
      <w:pPr>
        <w:spacing w:after="100"/>
      </w:pPr>
    </w:p>
    <w:p>
      <w:pPr>
        <w:pStyle w:val="ListParagraph"/>
        <w:numPr>
          <w:ilvl w:val="0"/>
          <w:numId w:val="2"/>
        </w:numPr>
        <w:spacing w:after="140"/>
      </w:pPr>
      <w:r>
        <w:rPr>
          <w:rFonts w:ascii="Calibri" w:cs="Calibri" w:eastAsia="Calibri" w:hAnsi="Calibri"/>
          <w:sz w:val="21"/>
          <w:szCs w:val="21"/>
        </w:rPr>
        <w:t xml:space="preserve">Synthesise dispute-resolution strategy, contract and entity structuring, governance and competition-law risk, and digital/consumer/IP compliance into one coherent legal risk assessment of a real company.</w:t>
      </w:r>
    </w:p>
    <w:p>
      <w:pPr>
        <w:pStyle w:val="ListParagraph"/>
        <w:numPr>
          <w:ilvl w:val="0"/>
          <w:numId w:val="2"/>
        </w:numPr>
        <w:spacing w:after="140"/>
      </w:pPr>
      <w:r>
        <w:rPr>
          <w:rFonts w:ascii="Calibri" w:cs="Calibri" w:eastAsia="Calibri" w:hAnsi="Calibri"/>
          <w:sz w:val="21"/>
          <w:szCs w:val="21"/>
        </w:rPr>
        <w:t xml:space="preserve">Apply every major legal framework from Units 1–5 with real or realistic evidence and named, verifiable sources.</w:t>
      </w:r>
    </w:p>
    <w:p>
      <w:pPr>
        <w:pStyle w:val="ListParagraph"/>
        <w:numPr>
          <w:ilvl w:val="0"/>
          <w:numId w:val="2"/>
        </w:numPr>
        <w:spacing w:after="140"/>
      </w:pPr>
      <w:r>
        <w:rPr>
          <w:rFonts w:ascii="Calibri" w:cs="Calibri" w:eastAsia="Calibri" w:hAnsi="Calibri"/>
          <w:sz w:val="21"/>
          <w:szCs w:val="21"/>
        </w:rPr>
        <w:t xml:space="preserve">Produce a portfolio-quality integrated legal risk and compliance report meeting the standard expected in general management, consulting, or compliance placement roles.</w:t>
      </w:r>
    </w:p>
    <w:p>
      <w:pPr>
        <w:pStyle w:val="ListParagraph"/>
        <w:numPr>
          <w:ilvl w:val="0"/>
          <w:numId w:val="2"/>
        </w:numPr>
        <w:spacing w:after="140"/>
      </w:pPr>
      <w:r>
        <w:rPr>
          <w:rFonts w:ascii="Calibri" w:cs="Calibri" w:eastAsia="Calibri" w:hAnsi="Calibri"/>
          <w:sz w:val="21"/>
          <w:szCs w:val="21"/>
        </w:rPr>
        <w:t xml:space="preserve">Construct and present a realistic simulated negotiation or mock arbitration exercise, and defend the integrated legal-risk recommendation under faculty Q&amp;A.</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ASSESSMENT TASK &amp; SUBMISSION REQUIREMENTS</w:t>
            </w:r>
          </w:p>
        </w:tc>
      </w:tr>
    </w:tbl>
    <w:p>
      <w:pPr>
        <w:spacing w:after="100"/>
      </w:pPr>
    </w:p>
    <w:p>
      <w:pPr>
        <w:pStyle w:val="ListParagraph"/>
        <w:numPr>
          <w:ilvl w:val="0"/>
          <w:numId w:val="2"/>
        </w:numPr>
        <w:spacing w:after="140"/>
      </w:pPr>
      <w:r>
        <w:rPr>
          <w:rFonts w:ascii="Calibri" w:cs="Calibri" w:eastAsia="Calibri" w:hAnsi="Calibri"/>
          <w:sz w:val="21"/>
          <w:szCs w:val="21"/>
        </w:rPr>
        <w:t xml:space="preserve">(1) Full Capstone Report — 2,000–2,200 words, 7 sections, professionally formatted (Word or PDF).</w:t>
      </w:r>
    </w:p>
    <w:p>
      <w:pPr>
        <w:pStyle w:val="ListParagraph"/>
        <w:numPr>
          <w:ilvl w:val="0"/>
          <w:numId w:val="2"/>
        </w:numPr>
        <w:spacing w:after="140"/>
      </w:pPr>
      <w:r>
        <w:rPr>
          <w:rFonts w:ascii="Calibri" w:cs="Calibri" w:eastAsia="Calibri" w:hAnsi="Calibri"/>
          <w:sz w:val="21"/>
          <w:szCs w:val="21"/>
        </w:rPr>
        <w:t xml:space="preserve">(2) 8-slide presentation PDF. Capstone weight: 30% of total Legal Aspects of Business course grade. Section weights within the capstone: Sec 1=10%, Sec 2=15%, Sec 3=20%, Sec 4=15%, Sec 5=20%, Sec 6=10%, Sec 7=10%.</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3864" w:color="auto" w:val="clear"/>
            <w:tcMar>
              <w:top w:type="dxa" w:w="110"/>
              <w:left w:type="dxa" w:w="160"/>
              <w:bottom w:type="dxa" w:w="110"/>
              <w:right w:type="dxa" w:w="160"/>
            </w:tcMar>
          </w:tcPr>
          <w:p>
            <w:pPr>
              <w:spacing w:after="0"/>
            </w:pPr>
            <w:r>
              <w:rPr>
                <w:rFonts w:ascii="Calibri" w:cs="Calibri" w:eastAsia="Calibri" w:hAnsi="Calibri"/>
                <w:b/>
                <w:bCs/>
                <w:color w:val="FFFFFF"/>
                <w:sz w:val="22"/>
                <w:szCs w:val="22"/>
              </w:rPr>
              <w:t xml:space="preserve">GRADING RUBRIC</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94"/>
        <w:gridCol w:w="1694"/>
        <w:gridCol w:w="1694"/>
        <w:gridCol w:w="1694"/>
        <w:gridCol w:w="750"/>
      </w:tblGrid>
      <w:tr>
        <w:trPr>
          <w:tblHeader/>
        </w:trPr>
        <w:tc>
          <w:tcPr>
            <w:tcW w:type="dxa" w:w="150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Criterion</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Distinction 85–100%</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Merit 70–84%</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Pass 50–69%</w:t>
            </w:r>
          </w:p>
        </w:tc>
        <w:tc>
          <w:tcPr>
            <w:tcW w:type="dxa" w:w="1694"/>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Needs Work &lt;50%</w:t>
            </w:r>
          </w:p>
        </w:tc>
        <w:tc>
          <w:tcPr>
            <w:tcW w:type="dxa" w:w="75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18"/>
                <w:szCs w:val="18"/>
              </w:rPr>
              <w:t xml:space="preserve">Wt.</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Analytical Depth &amp; Framework Application — All 7 Sections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All 7 sections present and substantive at approximately the target word counts; the contract/dispute-resolution section correctly identifies essential clauses and a justified ADR structure; the entity/governance/competition section correctly assesses structural and regulatory risk; Section 4 correctly applies DPDP/Consumer Protection/IP frameworks; Section 5's simulated negotiation or mock arbitration is realistic, legally grounded, and reaches a coherent resolution; Section 6 correctly identifies a trade-law or legal-technology risk; Section 7 explicitly connects the final recommendation to evidence established in Sections 1–6.</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All 7 sections present; most frameworks correctly applied; 1–2 sections lighter than others.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5–6 sections present; some framework applications are superficial or incorrect.</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Fewer than 5 sections; major analytical errors in multiple sections.</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40%</w:t>
            </w:r>
          </w:p>
        </w:tc>
      </w:tr>
      <w:tr>
        <w:tc>
          <w:tcPr>
            <w:tcW w:type="dxa" w:w="150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Legal Source Rigour &amp; Verification Discipline</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Every legal claim has a clearly stated, correct source (statute, case citation, or regulatory portal) or an explicitly labelled assumption; every AI-generated legal claim is independently verified given the known fabrication risk in AI legal research, with the verification explicitly noted; citation format is consistent throughout.</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Most claims cited or clearly assumed; 1–2 claims without a source or verification note.</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Some claims uncited; reliance on AI-generated legal claims without verification in places.</w:t>
            </w:r>
          </w:p>
        </w:tc>
        <w:tc>
          <w:tcPr>
            <w:tcW w:type="dxa" w:w="1694"/>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Significant uncited or unverified legal claims throughout the report — a serious concern given the fabrication risk in AI legal research.</w:t>
            </w:r>
          </w:p>
        </w:tc>
        <w:tc>
          <w:tcPr>
            <w:tcW w:type="dxa" w:w="750"/>
            <w:tcBorders>
              <w:top w:val="single" w:color="BFBFBF" w:sz="2"/>
              <w:left w:val="single" w:color="BFBFBF" w:sz="2"/>
              <w:bottom w:val="single" w:color="BFBFBF" w:sz="2"/>
              <w:right w:val="single" w:color="BFBFBF" w:sz="2"/>
            </w:tcBorders>
            <w:shd w:fill="F2F2F2"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r>
        <w:tc>
          <w:tcPr>
            <w:tcW w:type="dxa" w:w="150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17"/>
                <w:szCs w:val="17"/>
              </w:rPr>
              <w:t xml:space="preserve">Simulated Negotiation/Arbitration Quality &amp; Presentation</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Section 5's simulated exercise presents genuinely distinct, realistic positions for both parties with sound legal reasoning behind each, and reaches a resolution that follows logically from the applied ADR/arbitration framework; Section 7's synthesis is specific; the presentation is professionally designed, evidence-anchored, and the student can answer faculty Q&amp;A without reading from notes.</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Section 5 is substantive with reasonably distinct positions; presentation covers all 7 sections; Q&amp;A handled adequately.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Section 5's positions are one-sided or underdeveloped; presentation covers some sections too briefly.</w:t>
            </w:r>
          </w:p>
        </w:tc>
        <w:tc>
          <w:tcPr>
            <w:tcW w:type="dxa" w:w="1694"/>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16"/>
                <w:szCs w:val="16"/>
              </w:rPr>
              <w:t xml:space="preserve">Section 5 is absent or not a genuine negotiation/arbitration simulation, or the presentation is not delivered.</w:t>
            </w:r>
          </w:p>
        </w:tc>
        <w:tc>
          <w:tcPr>
            <w:tcW w:type="dxa" w:w="75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jc w:val="center"/>
            </w:pPr>
            <w:r>
              <w:rPr>
                <w:rFonts w:ascii="Calibri" w:cs="Calibri" w:eastAsia="Calibri" w:hAnsi="Calibri"/>
                <w:b/>
                <w:bCs/>
                <w:i w:val="false"/>
                <w:iCs w:val="false"/>
                <w:sz w:val="17"/>
                <w:szCs w:val="17"/>
              </w:rPr>
              <w:t xml:space="preserve">30%</w:t>
            </w:r>
          </w:p>
        </w:tc>
      </w:tr>
    </w:tbl>
    <w:p>
      <w:pPr>
        <w:pStyle w:val="Heading1"/>
        <w:pageBreakBefore/>
        <w:spacing w:after="200"/>
      </w:pPr>
      <w:r>
        <w:rPr>
          <w:rFonts w:ascii="Calibri" w:cs="Calibri" w:eastAsia="Calibri" w:hAnsi="Calibri"/>
          <w:b/>
          <w:bCs/>
          <w:color w:val="162A4A"/>
        </w:rPr>
        <w:t xml:space="preserve">Document Prepared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20"/>
                <w:szCs w:val="20"/>
              </w:rPr>
              <w:t xml:space="preserve">Name</w:t>
            </w:r>
          </w:p>
        </w:tc>
        <w:tc>
          <w:tcPr>
            <w:tcW w:type="dxa" w:w="3008"/>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20"/>
                <w:szCs w:val="20"/>
              </w:rPr>
              <w:t xml:space="preserve">Designation</w:t>
            </w:r>
          </w:p>
        </w:tc>
        <w:tc>
          <w:tcPr>
            <w:tcW w:type="dxa" w:w="3010"/>
            <w:tcBorders>
              <w:top w:val="single" w:color="BFBFBF" w:sz="2"/>
              <w:left w:val="single" w:color="BFBFBF" w:sz="2"/>
              <w:bottom w:val="single" w:color="BFBFBF" w:sz="2"/>
              <w:right w:val="single" w:color="BFBFBF" w:sz="2"/>
            </w:tcBorders>
            <w:shd w:fill="1F3864"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color w:val="FFFFFF"/>
                <w:sz w:val="20"/>
                <w:szCs w:val="20"/>
              </w:rPr>
              <w:t xml:space="preserve">Institution</w:t>
            </w:r>
          </w:p>
        </w:tc>
      </w:tr>
      <w:tr>
        <w:tc>
          <w:tcPr>
            <w:tcW w:type="dxa" w:w="3008"/>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bCs/>
                <w:i w:val="false"/>
                <w:iCs w:val="false"/>
                <w:sz w:val="20"/>
                <w:szCs w:val="20"/>
              </w:rPr>
              <w:t xml:space="preserve">Prof. Deepak Gupta</w:t>
            </w:r>
          </w:p>
        </w:tc>
        <w:tc>
          <w:tcPr>
            <w:tcW w:type="dxa" w:w="3008"/>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20"/>
                <w:szCs w:val="20"/>
              </w:rPr>
              <w:t xml:space="preserve">Head — AI &amp; Analytics</w:t>
            </w:r>
          </w:p>
        </w:tc>
        <w:tc>
          <w:tcPr>
            <w:tcW w:type="dxa" w:w="3010"/>
            <w:tcBorders>
              <w:top w:val="single" w:color="BFBFBF" w:sz="2"/>
              <w:left w:val="single" w:color="BFBFBF" w:sz="2"/>
              <w:bottom w:val="single" w:color="BFBFBF" w:sz="2"/>
              <w:right w:val="single" w:color="BFBFBF" w:sz="2"/>
            </w:tcBorders>
            <w:shd w:fill="FFFFFF" w:color="auto" w:val="clear"/>
            <w:tcMar>
              <w:top w:type="dxa" w:w="100"/>
              <w:left w:type="dxa" w:w="120"/>
              <w:bottom w:type="dxa" w:w="100"/>
              <w:right w:type="dxa" w:w="120"/>
            </w:tcMar>
            <w:vAlign w:val="center"/>
          </w:tcPr>
          <w:p>
            <w:pPr>
              <w:spacing w:after="0"/>
            </w:pPr>
            <w:r>
              <w:rPr>
                <w:rFonts w:ascii="Calibri" w:cs="Calibri" w:eastAsia="Calibri" w:hAnsi="Calibri"/>
                <w:b w:val="false"/>
                <w:bCs w:val="false"/>
                <w:i w:val="false"/>
                <w:iCs w:val="false"/>
                <w:sz w:val="20"/>
                <w:szCs w:val="20"/>
              </w:rPr>
              <w:t xml:space="preserve">Lexicon MILE, Pune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Legal Aspects of Business (1GNC03)  |  PGDM Batch 2026–28  |  Trimester I  |  HyperBuild AI Lab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HyperBuild AI Lab  |  Legal Aspects of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431"/>
      </w:pPr>
    </w:lvl>
  </w:abstractNum>
  <w:abstractNum w:abstractNumId="4" w15:restartNumberingAfterBreak="0">
    <w:multiLevelType w:val="hybridMultilevel"/>
    <w:lvl w:ilvl="0" w15:tentative="1">
      <w:start w:val="1"/>
      <w:numFmt w:val="decimal"/>
      <w:lvlText w:val="%1."/>
      <w:lvlJc w:val="left"/>
      <w:pPr>
        <w:ind w:left="576" w:hanging="431"/>
      </w:pPr>
    </w:lvl>
  </w:abstractNum>
  <w:abstractNum w:abstractNumId="5" w15:restartNumberingAfterBreak="0">
    <w:multiLevelType w:val="hybridMultilevel"/>
    <w:lvl w:ilvl="0" w15:tentative="1">
      <w:start w:val="1"/>
      <w:numFmt w:val="decimal"/>
      <w:lvlText w:val="%1."/>
      <w:lvlJc w:val="left"/>
      <w:pPr>
        <w:ind w:left="576" w:hanging="431"/>
      </w:pPr>
    </w:lvl>
  </w:abstractNum>
  <w:abstractNum w:abstractNumId="6" w15:restartNumberingAfterBreak="0">
    <w:multiLevelType w:val="hybridMultilevel"/>
    <w:lvl w:ilvl="0" w15:tentative="1">
      <w:start w:val="1"/>
      <w:numFmt w:val="decimal"/>
      <w:lvlText w:val="%1."/>
      <w:lvlJc w:val="left"/>
      <w:pPr>
        <w:ind w:left="576" w:hanging="431"/>
      </w:pPr>
    </w:lvl>
  </w:abstractNum>
  <w:abstractNum w:abstractNumId="7" w15:restartNumberingAfterBreak="0">
    <w:multiLevelType w:val="hybridMultilevel"/>
    <w:lvl w:ilvl="0" w15:tentative="1">
      <w:start w:val="1"/>
      <w:numFmt w:val="decimal"/>
      <w:lvlText w:val="%1."/>
      <w:lvlJc w:val="left"/>
      <w:pPr>
        <w:ind w:left="576" w:hanging="431"/>
      </w:pPr>
    </w:lvl>
  </w:abstractNum>
  <w:abstractNum w:abstractNumId="8" w15:restartNumberingAfterBreak="0">
    <w:multiLevelType w:val="hybridMultilevel"/>
    <w:lvl w:ilvl="0" w15:tentative="1">
      <w:start w:val="1"/>
      <w:numFmt w:val="decimal"/>
      <w:lvlText w:val="%1."/>
      <w:lvlJc w:val="left"/>
      <w:pPr>
        <w:ind w:left="576" w:hanging="431"/>
      </w:pPr>
    </w:lvl>
  </w:abstractNum>
  <w:abstractNum w:abstractNumId="9" w15:restartNumberingAfterBreak="0">
    <w:multiLevelType w:val="hybridMultilevel"/>
    <w:lvl w:ilvl="0" w15:tentative="1">
      <w:start w:val="1"/>
      <w:numFmt w:val="decimal"/>
      <w:lvlText w:val="%1."/>
      <w:lvlJc w:val="left"/>
      <w:pPr>
        <w:ind w:left="576" w:hanging="431"/>
      </w:pPr>
    </w:lvl>
  </w:abstractNum>
  <w:abstractNum w:abstractNumId="10" w15:restartNumberingAfterBreak="0">
    <w:multiLevelType w:val="hybridMultilevel"/>
    <w:lvl w:ilvl="0" w15:tentative="1">
      <w:start w:val="1"/>
      <w:numFmt w:val="decimal"/>
      <w:lvlText w:val="%1."/>
      <w:lvlJc w:val="left"/>
      <w:pPr>
        <w:ind w:left="576" w:hanging="431"/>
      </w:pPr>
    </w:lvl>
  </w:abstractNum>
  <w:abstractNum w:abstractNumId="11" w15:restartNumberingAfterBreak="0">
    <w:multiLevelType w:val="hybridMultilevel"/>
    <w:lvl w:ilvl="0" w15:tentative="1">
      <w:start w:val="1"/>
      <w:numFmt w:val="decimal"/>
      <w:lvlText w:val="%1."/>
      <w:lvlJc w:val="left"/>
      <w:pPr>
        <w:ind w:left="576" w:hanging="431"/>
      </w:pPr>
    </w:lvl>
  </w:abstractNum>
  <w:abstractNum w:abstractNumId="12" w15:restartNumberingAfterBreak="0">
    <w:multiLevelType w:val="hybridMultilevel"/>
    <w:lvl w:ilvl="0" w15:tentative="1">
      <w:start w:val="1"/>
      <w:numFmt w:val="decimal"/>
      <w:lvlText w:val="%1."/>
      <w:lvlJc w:val="left"/>
      <w:pPr>
        <w:ind w:left="576" w:hanging="431"/>
      </w:pPr>
    </w:lvl>
  </w:abstractNum>
  <w:abstractNum w:abstractNumId="13" w15:restartNumberingAfterBreak="0">
    <w:multiLevelType w:val="hybridMultilevel"/>
    <w:lvl w:ilvl="0" w15:tentative="1">
      <w:start w:val="1"/>
      <w:numFmt w:val="decimal"/>
      <w:lvlText w:val="%1."/>
      <w:lvlJc w:val="left"/>
      <w:pPr>
        <w:ind w:left="576" w:hanging="431"/>
      </w:pPr>
    </w:lvl>
  </w:abstractNum>
  <w:abstractNum w:abstractNumId="14" w15:restartNumberingAfterBreak="0">
    <w:multiLevelType w:val="hybridMultilevel"/>
    <w:lvl w:ilvl="0" w15:tentative="1">
      <w:start w:val="1"/>
      <w:numFmt w:val="decimal"/>
      <w:lvlText w:val="%1."/>
      <w:lvlJc w:val="left"/>
      <w:pPr>
        <w:ind w:left="576" w:hanging="431"/>
      </w:pPr>
    </w:lvl>
  </w:abstractNum>
  <w:abstractNum w:abstractNumId="15" w15:restartNumberingAfterBreak="0">
    <w:multiLevelType w:val="hybridMultilevel"/>
    <w:lvl w:ilvl="0" w15:tentative="1">
      <w:start w:val="1"/>
      <w:numFmt w:val="decimal"/>
      <w:lvlText w:val="%1."/>
      <w:lvlJc w:val="left"/>
      <w:pPr>
        <w:ind w:left="576" w:hanging="431"/>
      </w:pPr>
    </w:lvl>
  </w:abstractNum>
  <w:abstractNum w:abstractNumId="16" w15:restartNumberingAfterBreak="0">
    <w:multiLevelType w:val="hybridMultilevel"/>
    <w:lvl w:ilvl="0" w15:tentative="1">
      <w:start w:val="1"/>
      <w:numFmt w:val="decimal"/>
      <w:lvlText w:val="%1."/>
      <w:lvlJc w:val="left"/>
      <w:pPr>
        <w:ind w:left="576" w:hanging="431"/>
      </w:pPr>
    </w:lvl>
  </w:abstractNum>
  <w:abstractNum w:abstractNumId="17" w15:restartNumberingAfterBreak="0">
    <w:multiLevelType w:val="hybridMultilevel"/>
    <w:lvl w:ilvl="0" w15:tentative="1">
      <w:start w:val="1"/>
      <w:numFmt w:val="decimal"/>
      <w:lvlText w:val="%1."/>
      <w:lvlJc w:val="left"/>
      <w:pPr>
        <w:ind w:left="576" w:hanging="431"/>
      </w:pPr>
    </w:lvl>
  </w:abstractNum>
  <w:abstractNum w:abstractNumId="18"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Calibri" w:cs="Calibri" w:eastAsia="Calibri" w:hAnsi="Calibri"/>
      <w:b/>
      <w:bCs/>
      <w:color w:val="162A4A"/>
      <w:sz w:val="32"/>
      <w:szCs w:val="32"/>
    </w:rPr>
  </w:style>
  <w:style w:type="paragraph" w:styleId="Heading2">
    <w:name w:val="Heading 2"/>
    <w:basedOn w:val="Normal"/>
    <w:next w:val="Normal"/>
    <w:qFormat/>
    <w:pPr>
      <w:spacing w:after="160" w:before="0"/>
    </w:pPr>
    <w:rPr>
      <w:rFonts w:ascii="Calibri" w:cs="Calibri" w:eastAsia="Calibri" w:hAnsi="Calibri"/>
      <w:b/>
      <w:bCs/>
      <w:color w:val="162A4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2026-07-28T18:24:18.422Z</dcterms:created>
  <dcterms:modified xsi:type="dcterms:W3CDTF">2026-07-28T18:24:18.423Z</dcterms:modified>
</cp:coreProperties>
</file>

<file path=docProps/custom.xml><?xml version="1.0" encoding="utf-8"?>
<Properties xmlns="http://schemas.openxmlformats.org/officeDocument/2006/custom-properties" xmlns:vt="http://schemas.openxmlformats.org/officeDocument/2006/docPropsVTypes"/>
</file>