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Secure Retail Data Lakehouse</w:t>
      </w:r>
    </w:p>
    <w:p>
      <w:pPr>
        <w:spacing w:after="80" w:before="120"/>
        <w:jc w:val="center"/>
      </w:pPr>
      <w:r>
        <w:rPr>
          <w:color w:val="2E75B6"/>
          <w:sz w:val="28"/>
          <w:szCs w:val="28"/>
        </w:rPr>
        <w:t xml:space="preserve">Masking, Encryption &amp; Access Control for Retail PII/PCI Data</w:t>
      </w:r>
    </w:p>
    <w:p>
      <w:pPr>
        <w:spacing w:after="40" w:before="40"/>
        <w:jc w:val="center"/>
      </w:pPr>
      <w:r>
        <w:rPr>
          <w:i/>
          <w:iCs/>
          <w:color w:val="404040"/>
          <w:sz w:val="24"/>
          <w:szCs w:val="24"/>
        </w:rPr>
        <w:t xml:space="preserve">Project Report &amp; Technical Overview</w:t>
      </w:r>
    </w:p>
    <w:p>
      <w:pPr>
        <w:spacing w:before="400"/>
        <w:jc w:val="center"/>
      </w:pPr>
      <w:r>
        <w:rPr>
          <w:color w:val="404040"/>
          <w:sz w:val="20"/>
          <w:szCs w:val="20"/>
        </w:rPr>
        <w:t xml:space="preserve">Domain: Retail Data Security &amp; Compliance Engineering</w:t>
      </w:r>
    </w:p>
    <w:p>
      <w:pPr>
        <w:jc w:val="center"/>
      </w:pPr>
      <w:r>
        <w:rPr>
          <w:color w:val="404040"/>
          <w:sz w:val="20"/>
          <w:szCs w:val="20"/>
        </w:rPr>
        <w:t xml:space="preserve">Type: Secure Batch Data Pipeline (Bronze–Silver–Gold)</w:t>
      </w:r>
    </w:p>
    <w:p>
      <w:pPr>
        <w:spacing w:before="40"/>
        <w:jc w:val="center"/>
      </w:pPr>
      <w:r>
        <w:rPr>
          <w:color w:val="404040"/>
          <w:sz w:val="20"/>
          <w:szCs w:val="20"/>
        </w:rPr>
        <w:t xml:space="preserve">Stack: Python · PySpark · Databricks · Delta Lake · Cryptography</w:t>
      </w:r>
    </w:p>
    <w:p>
      <w:pPr>
        <w:spacing w:before="800"/>
        <w:jc w:val="center"/>
      </w:pPr>
      <w:r>
        <w:rPr>
          <w:b/>
          <w:bCs/>
          <w:sz w:val="22"/>
          <w:szCs w:val="22"/>
        </w:rPr>
        <w:t xml:space="preserve">Celebal Technologies — Data Engineering Programme</w:t>
      </w:r>
    </w:p>
    <w:p>
      <w:pPr>
        <w:jc w:val="center"/>
      </w:pPr>
      <w:r>
        <w:rPr>
          <w:sz w:val="20"/>
          <w:szCs w:val="20"/>
        </w:rPr>
        <w:t xml:space="preserve">Prepared by: Harshita</w:t>
      </w:r>
    </w:p>
    <w:p>
      <w:pPr>
        <w:jc w:val="center"/>
      </w:pPr>
      <w:r>
        <w:rPr>
          <w:i/>
          <w:iCs/>
          <w:color w:val="808080"/>
          <w:sz w:val="18"/>
          <w:szCs w:val="18"/>
        </w:rPr>
        <w:t xml:space="preserve">Submitted for internal evaluation</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Executive Summary</w:t>
      </w:r>
    </w:p>
    <w:p>
      <w:pPr>
        <w:spacing w:after="160"/>
        <w:jc w:val="both"/>
      </w:pPr>
      <w:r>
        <w:rPr>
          <w:sz w:val="22"/>
          <w:szCs w:val="22"/>
        </w:rPr>
        <w:t xml:space="preserve">Retail platforms such as e-commerce applications and point-of-sale systems continuously collect and process sensitive customer and payment data — Personally Identifiable Information (PII) such as names, addresses, phone numbers, and dates of birth, and Payment Card Industry (PCI) data such as card numbers and CVVs. Storing this data in plain text introduces severe security and compliance risk.</w:t>
      </w:r>
    </w:p>
    <w:p>
      <w:pPr>
        <w:spacing w:after="160"/>
        <w:jc w:val="both"/>
      </w:pPr>
      <w:r>
        <w:rPr>
          <w:sz w:val="22"/>
          <w:szCs w:val="22"/>
        </w:rPr>
        <w:t xml:space="preserve">This project builds a secure, automated batch data pipeline — following the Bronze, Silver, Gold medallion architecture — that acts as a compliance filter between raw retail operational systems and downstream analytics teams. Highly sensitive fields (such as CVV) are hard-dropped at ingestion; direct identifiers (names, emails, card numbers) are masked, tokenized, and encrypted before reaching any analytics-facing layer; and role-based access control ensures each internal team sees only what its function requires.</w:t>
      </w:r>
    </w:p>
    <w:p>
      <w:pPr>
        <w:pStyle w:val="Heading1"/>
        <w:spacing w:after="160" w:before="320"/>
      </w:pPr>
      <w:r>
        <w:t xml:space="preserve">2. Problem Statement — Why PII Must Be Masked</w:t>
      </w:r>
    </w:p>
    <w:p>
      <w:pPr>
        <w:spacing w:after="160"/>
        <w:jc w:val="both"/>
      </w:pPr>
      <w:r>
        <w:rPr>
          <w:sz w:val="22"/>
          <w:szCs w:val="22"/>
        </w:rPr>
        <w:t xml:space="preserve">In the retail sector, operational systems such as e-commerce platforms and point-of-sale networks continuously collect vast amounts of raw PII and PCI data, including full names, shipping addresses, exact birth dates, and credit card details. Storing and exposing this data in plain text creates severe enterprise risks:</w:t>
      </w:r>
    </w:p>
    <w:p>
      <w:pPr>
        <w:pStyle w:val="ListParagraph"/>
        <w:numPr>
          <w:ilvl w:val="0"/>
          <w:numId w:val="2"/>
        </w:numPr>
        <w:spacing w:after="80"/>
      </w:pPr>
      <w:r>
        <w:rPr>
          <w:sz w:val="22"/>
          <w:szCs w:val="22"/>
        </w:rPr>
        <w:t xml:space="preserve">Security Vulnerabilities — direct exposure of raw data significantly increases the risk of identity theft and financial fraud in the event of a database breach.</w:t>
      </w:r>
    </w:p>
    <w:p>
      <w:pPr>
        <w:pStyle w:val="ListParagraph"/>
        <w:numPr>
          <w:ilvl w:val="0"/>
          <w:numId w:val="2"/>
        </w:numPr>
        <w:spacing w:after="80"/>
      </w:pPr>
      <w:r>
        <w:rPr>
          <w:sz w:val="22"/>
          <w:szCs w:val="22"/>
        </w:rPr>
        <w:t xml:space="preserve">Regulatory Non-Compliance — retaining unprotected payment information (like CVVs) and plain-text identities violates global compliance frameworks such as PCI-DSS, GDPR, and DPDP.</w:t>
      </w:r>
    </w:p>
    <w:p>
      <w:pPr>
        <w:pStyle w:val="ListParagraph"/>
        <w:numPr>
          <w:ilvl w:val="0"/>
          <w:numId w:val="2"/>
        </w:numPr>
        <w:spacing w:after="80"/>
      </w:pPr>
      <w:r>
        <w:rPr>
          <w:sz w:val="22"/>
          <w:szCs w:val="22"/>
        </w:rPr>
        <w:t xml:space="preserve">Internal Data Leaks — giving internal data scientists and business analysts unrestricted access to raw customer identities violates the principle of least privilege. Analysts need aggregate purchase trends, not a specific customer's personal home address or phone number.</w:t>
      </w:r>
    </w:p>
    <w:p>
      <w:pPr>
        <w:pStyle w:val="Heading1"/>
        <w:spacing w:after="160" w:before="320"/>
      </w:pPr>
      <w:r>
        <w:t xml:space="preserve">3. What We Are Doing</w:t>
      </w:r>
    </w:p>
    <w:p>
      <w:pPr>
        <w:spacing w:after="160"/>
        <w:jc w:val="both"/>
      </w:pPr>
      <w:r>
        <w:rPr>
          <w:sz w:val="22"/>
          <w:szCs w:val="22"/>
        </w:rPr>
        <w:t xml:space="preserve">The pipeline is a secure, automated static batch data pipeline that acts as a strict compliance filter between retail operational systems and analytical teams. As raw data moves through progressively secure layers — Bronze, Silver, Gold — the pipeline systematically executes:</w:t>
      </w:r>
    </w:p>
    <w:p>
      <w:pPr>
        <w:pStyle w:val="ListParagraph"/>
        <w:numPr>
          <w:ilvl w:val="0"/>
          <w:numId w:val="2"/>
        </w:numPr>
        <w:spacing w:after="80"/>
      </w:pPr>
      <w:r>
        <w:rPr>
          <w:sz w:val="22"/>
          <w:szCs w:val="22"/>
        </w:rPr>
        <w:t xml:space="preserve">Hard-Drop — highly sensitive data such as payment CVVs is physically dropped immediately upon ingestion into the data lake, before anything is persisted to disk.</w:t>
      </w:r>
    </w:p>
    <w:p>
      <w:pPr>
        <w:pStyle w:val="ListParagraph"/>
        <w:numPr>
          <w:ilvl w:val="0"/>
          <w:numId w:val="2"/>
        </w:numPr>
        <w:spacing w:after="80"/>
      </w:pPr>
      <w:r>
        <w:rPr>
          <w:sz w:val="22"/>
          <w:szCs w:val="22"/>
        </w:rPr>
        <w:t xml:space="preserve">Mask &amp; Tokenize — direct identifiers such as names, emails, and credit card numbers are masked or replaced with secure surrogate tokens so they cannot be reverse-engineered by internal teams.</w:t>
      </w:r>
    </w:p>
    <w:p>
      <w:pPr>
        <w:pStyle w:val="ListParagraph"/>
        <w:numPr>
          <w:ilvl w:val="0"/>
          <w:numId w:val="2"/>
        </w:numPr>
        <w:spacing w:after="80"/>
      </w:pPr>
      <w:r>
        <w:rPr>
          <w:sz w:val="22"/>
          <w:szCs w:val="22"/>
        </w:rPr>
        <w:t xml:space="preserve">Encrypt — the surrogate token is further encrypted at rest as a defense-in-depth measure, decryptable only by an authorized compliance role holding the encryption key.</w:t>
      </w:r>
    </w:p>
    <w:p>
      <w:pPr>
        <w:pStyle w:val="ListParagraph"/>
        <w:numPr>
          <w:ilvl w:val="0"/>
          <w:numId w:val="2"/>
        </w:numPr>
        <w:spacing w:after="80"/>
      </w:pPr>
      <w:r>
        <w:rPr>
          <w:sz w:val="22"/>
          <w:szCs w:val="22"/>
        </w:rPr>
        <w:t xml:space="preserve">Access-Control — each internal role (analyst, data scientist, data engineer, compliance officer) is granted a different, scoped view of the data, enforced at query time.</w:t>
      </w:r>
    </w:p>
    <w:p>
      <w:pPr>
        <w:pStyle w:val="Heading1"/>
        <w:spacing w:after="160" w:before="320"/>
      </w:pPr>
      <w:r>
        <w:t xml:space="preserve">4. Pipeline Architecture — Medallion Design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600"/>
        <w:gridCol w:w="1800"/>
      </w:tblGrid>
      <w:tr>
        <w:trPr>
          <w:tblHeader/>
        </w:trPr>
        <w:tc>
          <w:tcPr>
            <w:tcW w:type="dxa" w:w="1500"/>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3800"/>
            <w:shd w:fill="1F3864" w:val="clear"/>
            <w:tcMar>
              <w:top w:type="dxa" w:w="80"/>
              <w:left w:type="dxa" w:w="120"/>
              <w:bottom w:type="dxa" w:w="80"/>
              <w:right w:type="dxa" w:w="120"/>
            </w:tcMar>
            <w:vAlign w:val="center"/>
          </w:tcPr>
          <w:p>
            <w:r>
              <w:rPr>
                <w:b/>
                <w:bCs/>
                <w:color w:val="FFFFFF"/>
                <w:sz w:val="20"/>
                <w:szCs w:val="20"/>
              </w:rPr>
              <w:t xml:space="preserve">Table(s)</w:t>
            </w:r>
          </w:p>
        </w:tc>
        <w:tc>
          <w:tcPr>
            <w:tcW w:type="dxa" w:w="2600"/>
            <w:shd w:fill="1F3864" w:val="clear"/>
            <w:tcMar>
              <w:top w:type="dxa" w:w="80"/>
              <w:left w:type="dxa" w:w="120"/>
              <w:bottom w:type="dxa" w:w="80"/>
              <w:right w:type="dxa" w:w="120"/>
            </w:tcMar>
            <w:vAlign w:val="center"/>
          </w:tcPr>
          <w:p>
            <w:r>
              <w:rPr>
                <w:b/>
                <w:bCs/>
                <w:color w:val="FFFFFF"/>
                <w:sz w:val="20"/>
                <w:szCs w:val="20"/>
              </w:rPr>
              <w:t xml:space="preserve">Contains PII/PCI?</w:t>
            </w:r>
          </w:p>
        </w:tc>
        <w:tc>
          <w:tcPr>
            <w:tcW w:type="dxa" w:w="1800"/>
            <w:shd w:fill="1F3864" w:val="clear"/>
            <w:tcMar>
              <w:top w:type="dxa" w:w="80"/>
              <w:left w:type="dxa" w:w="120"/>
              <w:bottom w:type="dxa" w:w="80"/>
              <w:right w:type="dxa" w:w="120"/>
            </w:tcMar>
            <w:vAlign w:val="center"/>
          </w:tcPr>
          <w:p>
            <w:r>
              <w:rPr>
                <w:b/>
                <w:bCs/>
                <w:color w:val="FFFFFF"/>
                <w:sz w:val="20"/>
                <w:szCs w:val="20"/>
              </w:rPr>
              <w:t xml:space="preserve">Who Accesses</w:t>
            </w:r>
          </w:p>
        </w:tc>
      </w:tr>
      <w:tr>
        <w:tc>
          <w:tcPr>
            <w:tcW w:type="dxa" w:w="1500"/>
            <w:tcMar>
              <w:top w:type="dxa" w:w="80"/>
              <w:left w:type="dxa" w:w="120"/>
              <w:bottom w:type="dxa" w:w="80"/>
              <w:right w:type="dxa" w:w="120"/>
            </w:tcMar>
            <w:vAlign w:val="center"/>
          </w:tcPr>
          <w:p>
            <w:r>
              <w:rPr>
                <w:b w:val="false"/>
                <w:bCs w:val="false"/>
                <w:color w:val="000000"/>
                <w:sz w:val="20"/>
                <w:szCs w:val="20"/>
              </w:rPr>
              <w:t xml:space="preserve">Bronze</w:t>
            </w:r>
          </w:p>
        </w:tc>
        <w:tc>
          <w:tcPr>
            <w:tcW w:type="dxa" w:w="3800"/>
            <w:tcMar>
              <w:top w:type="dxa" w:w="80"/>
              <w:left w:type="dxa" w:w="120"/>
              <w:bottom w:type="dxa" w:w="80"/>
              <w:right w:type="dxa" w:w="120"/>
            </w:tcMar>
            <w:vAlign w:val="center"/>
          </w:tcPr>
          <w:p>
            <w:r>
              <w:rPr>
                <w:b w:val="false"/>
                <w:bCs w:val="false"/>
                <w:color w:val="000000"/>
                <w:sz w:val="20"/>
                <w:szCs w:val="20"/>
              </w:rPr>
              <w:t xml:space="preserve">bronze_retail_transactions</w:t>
            </w:r>
          </w:p>
        </w:tc>
        <w:tc>
          <w:tcPr>
            <w:tcW w:type="dxa" w:w="2600"/>
            <w:tcMar>
              <w:top w:type="dxa" w:w="80"/>
              <w:left w:type="dxa" w:w="120"/>
              <w:bottom w:type="dxa" w:w="80"/>
              <w:right w:type="dxa" w:w="120"/>
            </w:tcMar>
            <w:vAlign w:val="center"/>
          </w:tcPr>
          <w:p>
            <w:r>
              <w:rPr>
                <w:b w:val="false"/>
                <w:bCs w:val="false"/>
                <w:color w:val="000000"/>
                <w:sz w:val="20"/>
                <w:szCs w:val="20"/>
              </w:rPr>
              <w:t xml:space="preserve">Yes (CVV already hard-dropped)</w:t>
            </w:r>
          </w:p>
        </w:tc>
        <w:tc>
          <w:tcPr>
            <w:tcW w:type="dxa" w:w="1800"/>
            <w:tcMar>
              <w:top w:type="dxa" w:w="80"/>
              <w:left w:type="dxa" w:w="120"/>
              <w:bottom w:type="dxa" w:w="80"/>
              <w:right w:type="dxa" w:w="120"/>
            </w:tcMar>
            <w:vAlign w:val="center"/>
          </w:tcPr>
          <w:p>
            <w:r>
              <w:rPr>
                <w:b w:val="false"/>
                <w:bCs w:val="false"/>
                <w:color w:val="000000"/>
                <w:sz w:val="20"/>
                <w:szCs w:val="20"/>
              </w:rPr>
              <w:t xml:space="preserve">compliance_admin only</w:t>
            </w:r>
          </w:p>
        </w:tc>
      </w:tr>
      <w:tr>
        <w:tc>
          <w:tcPr>
            <w:tcW w:type="dxa" w:w="1500"/>
            <w:shd w:fill="F2F2F2" w:val="clear"/>
            <w:tcMar>
              <w:top w:type="dxa" w:w="80"/>
              <w:left w:type="dxa" w:w="120"/>
              <w:bottom w:type="dxa" w:w="80"/>
              <w:right w:type="dxa" w:w="120"/>
            </w:tcMar>
            <w:vAlign w:val="center"/>
          </w:tcPr>
          <w:p>
            <w:r>
              <w:rPr>
                <w:b w:val="false"/>
                <w:bCs w:val="false"/>
                <w:color w:val="000000"/>
                <w:sz w:val="20"/>
                <w:szCs w:val="20"/>
              </w:rPr>
              <w:t xml:space="preserve">Silver</w:t>
            </w:r>
          </w:p>
        </w:tc>
        <w:tc>
          <w:tcPr>
            <w:tcW w:type="dxa" w:w="3800"/>
            <w:shd w:fill="F2F2F2" w:val="clear"/>
            <w:tcMar>
              <w:top w:type="dxa" w:w="80"/>
              <w:left w:type="dxa" w:w="120"/>
              <w:bottom w:type="dxa" w:w="80"/>
              <w:right w:type="dxa" w:w="120"/>
            </w:tcMar>
            <w:vAlign w:val="center"/>
          </w:tcPr>
          <w:p>
            <w:r>
              <w:rPr>
                <w:b w:val="false"/>
                <w:bCs w:val="false"/>
                <w:color w:val="000000"/>
                <w:sz w:val="20"/>
                <w:szCs w:val="20"/>
              </w:rPr>
              <w:t xml:space="preserve">silver_retail_transactions</w:t>
            </w:r>
          </w:p>
        </w:tc>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No — masked, tokenized, encrypted</w:t>
            </w:r>
          </w:p>
        </w:tc>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data_engineer, data_scientist</w:t>
            </w:r>
          </w:p>
        </w:tc>
      </w:tr>
      <w:tr>
        <w:tc>
          <w:tcPr>
            <w:tcW w:type="dxa" w:w="1500"/>
            <w:tcMar>
              <w:top w:type="dxa" w:w="80"/>
              <w:left w:type="dxa" w:w="120"/>
              <w:bottom w:type="dxa" w:w="80"/>
              <w:right w:type="dxa" w:w="120"/>
            </w:tcMar>
            <w:vAlign w:val="center"/>
          </w:tcPr>
          <w:p>
            <w:r>
              <w:rPr>
                <w:b w:val="false"/>
                <w:bCs w:val="false"/>
                <w:color w:val="000000"/>
                <w:sz w:val="20"/>
                <w:szCs w:val="20"/>
              </w:rPr>
              <w:t xml:space="preserve">Gold</w:t>
            </w:r>
          </w:p>
        </w:tc>
        <w:tc>
          <w:tcPr>
            <w:tcW w:type="dxa" w:w="3800"/>
            <w:tcMar>
              <w:top w:type="dxa" w:w="80"/>
              <w:left w:type="dxa" w:w="120"/>
              <w:bottom w:type="dxa" w:w="80"/>
              <w:right w:type="dxa" w:w="120"/>
            </w:tcMar>
            <w:vAlign w:val="center"/>
          </w:tcPr>
          <w:p>
            <w:r>
              <w:rPr>
                <w:b w:val="false"/>
                <w:bCs w:val="false"/>
                <w:color w:val="000000"/>
                <w:sz w:val="20"/>
                <w:szCs w:val="20"/>
              </w:rPr>
              <w:t xml:space="preserve">gold_customer_spend, gold_spend_category_summary</w:t>
            </w:r>
          </w:p>
        </w:tc>
        <w:tc>
          <w:tcPr>
            <w:tcW w:type="dxa" w:w="2600"/>
            <w:tcMar>
              <w:top w:type="dxa" w:w="80"/>
              <w:left w:type="dxa" w:w="120"/>
              <w:bottom w:type="dxa" w:w="80"/>
              <w:right w:type="dxa" w:w="120"/>
            </w:tcMar>
            <w:vAlign w:val="center"/>
          </w:tcPr>
          <w:p>
            <w:r>
              <w:rPr>
                <w:b w:val="false"/>
                <w:bCs w:val="false"/>
                <w:color w:val="000000"/>
                <w:sz w:val="20"/>
                <w:szCs w:val="20"/>
              </w:rPr>
              <w:t xml:space="preserve">No — fully aggregated</w:t>
            </w:r>
          </w:p>
        </w:tc>
        <w:tc>
          <w:tcPr>
            <w:tcW w:type="dxa" w:w="1800"/>
            <w:tcMar>
              <w:top w:type="dxa" w:w="80"/>
              <w:left w:type="dxa" w:w="120"/>
              <w:bottom w:type="dxa" w:w="80"/>
              <w:right w:type="dxa" w:w="120"/>
            </w:tcMar>
            <w:vAlign w:val="center"/>
          </w:tcPr>
          <w:p>
            <w:r>
              <w:rPr>
                <w:b w:val="false"/>
                <w:bCs w:val="false"/>
                <w:color w:val="000000"/>
                <w:sz w:val="20"/>
                <w:szCs w:val="20"/>
              </w:rPr>
              <w:t xml:space="preserve">business_analyst (everyone)</w:t>
            </w:r>
          </w:p>
        </w:tc>
      </w:tr>
    </w:tbl>
    <w:p>
      <w:pPr>
        <w:spacing w:before="240"/>
      </w:pPr>
    </w:p>
    <w:p>
      <w:pPr>
        <w:pStyle w:val="Heading2"/>
        <w:spacing w:after="160" w:before="320"/>
      </w:pPr>
      <w:r>
        <w:t xml:space="preserve">4.1 Bronze Layer — Ingestion with Immediate Hard-Drop</w:t>
      </w:r>
    </w:p>
    <w:p>
      <w:pPr>
        <w:spacing w:after="160"/>
        <w:jc w:val="both"/>
      </w:pPr>
      <w:r>
        <w:rPr>
          <w:sz w:val="22"/>
          <w:szCs w:val="22"/>
        </w:rPr>
        <w:t xml:space="preserve">Raw retail transaction data — as it would land from an e-commerce checkout or POS terminal — is ingested here. The first security checkpoint happens immediately: CVV, which PCI-DSS prohibits storing under any circumstance, is dropped before the data is ever written to a table. Bronze still retains other PII/PCI fields for lineage and audit purposes, but access is restricted to the compliance_admin role only.</w:t>
      </w:r>
    </w:p>
    <w:p>
      <w:pPr>
        <w:pStyle w:val="Heading2"/>
        <w:spacing w:after="160" w:before="320"/>
      </w:pPr>
      <w:r>
        <w:t xml:space="preserve">4.2 Silver Layer — Masking, Tokenization, Encryption &amp; Feature Engineering</w:t>
      </w:r>
    </w:p>
    <w:p>
      <w:pPr>
        <w:spacing w:after="160"/>
        <w:jc w:val="both"/>
      </w:pPr>
      <w:r>
        <w:rPr>
          <w:sz w:val="22"/>
          <w:szCs w:val="22"/>
        </w:rPr>
        <w:t xml:space="preserve">The following transformations convert raw identifiers into safe, analytics-friendly forms:</w:t>
      </w:r>
    </w:p>
    <w:p>
      <w:pPr>
        <w:pStyle w:val="ListParagraph"/>
        <w:numPr>
          <w:ilvl w:val="0"/>
          <w:numId w:val="2"/>
        </w:numPr>
        <w:spacing w:after="80"/>
      </w:pPr>
      <w:r>
        <w:rPr>
          <w:sz w:val="22"/>
          <w:szCs w:val="22"/>
        </w:rPr>
        <w:t xml:space="preserve">Masking — customer names, emails, and phone numbers are partially redacted (e.g. a name is reduced to initials, an email keeps only its domain and first two characters of the local part).</w:t>
      </w:r>
    </w:p>
    <w:p>
      <w:pPr>
        <w:pStyle w:val="ListParagraph"/>
        <w:numPr>
          <w:ilvl w:val="0"/>
          <w:numId w:val="2"/>
        </w:numPr>
        <w:spacing w:after="80"/>
      </w:pPr>
      <w:r>
        <w:rPr>
          <w:sz w:val="22"/>
          <w:szCs w:val="22"/>
        </w:rPr>
        <w:t xml:space="preserve">Tokenization — card numbers are replaced with an irreversible, salted SHA-256 surrogate token, allowing consistent joins without ever exposing the real number.</w:t>
      </w:r>
    </w:p>
    <w:p>
      <w:pPr>
        <w:pStyle w:val="ListParagraph"/>
        <w:numPr>
          <w:ilvl w:val="0"/>
          <w:numId w:val="2"/>
        </w:numPr>
        <w:spacing w:after="80"/>
      </w:pPr>
      <w:r>
        <w:rPr>
          <w:sz w:val="22"/>
          <w:szCs w:val="22"/>
        </w:rPr>
        <w:t xml:space="preserve">Encryption — the surrogate token is further encrypted at rest using Fernet (AES-128); only a role holding the decryption key can recover it.</w:t>
      </w:r>
    </w:p>
    <w:p>
      <w:pPr>
        <w:pStyle w:val="ListParagraph"/>
        <w:numPr>
          <w:ilvl w:val="0"/>
          <w:numId w:val="2"/>
        </w:numPr>
        <w:spacing w:after="80"/>
      </w:pPr>
      <w:r>
        <w:rPr>
          <w:sz w:val="22"/>
          <w:szCs w:val="22"/>
        </w:rPr>
        <w:t xml:space="preserve">Feature Engineering — date of birth is converted into an age bucket, and transaction amount into a spend category (Low, Medium, High), enabling analysis without exposing exact identifying values.</w:t>
      </w:r>
    </w:p>
    <w:p>
      <w:pPr>
        <w:pStyle w:val="ListParagraph"/>
        <w:numPr>
          <w:ilvl w:val="0"/>
          <w:numId w:val="2"/>
        </w:numPr>
        <w:spacing w:after="80"/>
      </w:pPr>
      <w:r>
        <w:rPr>
          <w:sz w:val="22"/>
          <w:szCs w:val="22"/>
        </w:rPr>
        <w:t xml:space="preserve">All raw sensitive columns — name, email, phone, date of birth, card number, card expiry — are dropped entirely from Silver. Only masked, tokenized, encrypted, and derived fields remain.</w:t>
      </w:r>
    </w:p>
    <w:p>
      <w:pPr>
        <w:pStyle w:val="Heading2"/>
        <w:spacing w:after="160" w:before="320"/>
      </w:pPr>
      <w:r>
        <w:t xml:space="preserve">4.3 Gold Layer — Business Analytics Dashboard</w:t>
      </w:r>
    </w:p>
    <w:p>
      <w:pPr>
        <w:spacing w:after="160"/>
        <w:jc w:val="both"/>
      </w:pPr>
      <w:r>
        <w:rPr>
          <w:sz w:val="22"/>
          <w:szCs w:val="22"/>
        </w:rPr>
        <w:t xml:space="preserve">The Gold layer is fully anonymized — no direct or indirect identifier survives. It contains only aggregated business metrics grouped by safe dimensions such as customer ID (surrogate), spend category, and region — the starting point for a business analytics dashboard covering total spend by customer, transaction distribution by spend category, and average spend rankings.</w:t>
      </w:r>
    </w:p>
    <w:p>
      <w:pPr>
        <w:pStyle w:val="Heading1"/>
        <w:spacing w:after="160" w:before="320"/>
      </w:pPr>
      <w:r>
        <w:t xml:space="preserve">5. Security Controls Implemented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shd w:fill="1F3864" w:val="clear"/>
            <w:tcMar>
              <w:top w:type="dxa" w:w="80"/>
              <w:left w:type="dxa" w:w="120"/>
              <w:bottom w:type="dxa" w:w="80"/>
              <w:right w:type="dxa" w:w="120"/>
            </w:tcMar>
            <w:vAlign w:val="center"/>
          </w:tcPr>
          <w:p>
            <w:r>
              <w:rPr>
                <w:b/>
                <w:bCs/>
                <w:color w:val="FFFFFF"/>
                <w:sz w:val="20"/>
                <w:szCs w:val="20"/>
              </w:rPr>
              <w:t xml:space="preserve">Control</w:t>
            </w:r>
          </w:p>
        </w:tc>
        <w:tc>
          <w:tcPr>
            <w:tcW w:type="dxa" w:w="3200"/>
            <w:shd w:fill="1F3864" w:val="clear"/>
            <w:tcMar>
              <w:top w:type="dxa" w:w="80"/>
              <w:left w:type="dxa" w:w="120"/>
              <w:bottom w:type="dxa" w:w="80"/>
              <w:right w:type="dxa" w:w="120"/>
            </w:tcMar>
            <w:vAlign w:val="center"/>
          </w:tcPr>
          <w:p>
            <w:r>
              <w:rPr>
                <w:b/>
                <w:bCs/>
                <w:color w:val="FFFFFF"/>
                <w:sz w:val="20"/>
                <w:szCs w:val="20"/>
              </w:rPr>
              <w:t xml:space="preserve">Technique</w:t>
            </w:r>
          </w:p>
        </w:tc>
        <w:tc>
          <w:tcPr>
            <w:tcW w:type="dxa" w:w="4200"/>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Hard-Drop</w:t>
            </w:r>
          </w:p>
        </w:tc>
        <w:tc>
          <w:tcPr>
            <w:tcW w:type="dxa" w:w="3200"/>
            <w:tcMar>
              <w:top w:type="dxa" w:w="80"/>
              <w:left w:type="dxa" w:w="120"/>
              <w:bottom w:type="dxa" w:w="80"/>
              <w:right w:type="dxa" w:w="120"/>
            </w:tcMar>
            <w:vAlign w:val="center"/>
          </w:tcPr>
          <w:p>
            <w:r>
              <w:rPr>
                <w:b w:val="false"/>
                <w:bCs w:val="false"/>
                <w:color w:val="000000"/>
                <w:sz w:val="20"/>
                <w:szCs w:val="20"/>
              </w:rPr>
              <w:t xml:space="preserve">CVV removed before Bronze write</w:t>
            </w:r>
          </w:p>
        </w:tc>
        <w:tc>
          <w:tcPr>
            <w:tcW w:type="dxa" w:w="4200"/>
            <w:tcMar>
              <w:top w:type="dxa" w:w="80"/>
              <w:left w:type="dxa" w:w="120"/>
              <w:bottom w:type="dxa" w:w="80"/>
              <w:right w:type="dxa" w:w="120"/>
            </w:tcMar>
            <w:vAlign w:val="center"/>
          </w:tcPr>
          <w:p>
            <w:r>
              <w:rPr>
                <w:b w:val="false"/>
                <w:bCs w:val="false"/>
                <w:color w:val="000000"/>
                <w:sz w:val="20"/>
                <w:szCs w:val="20"/>
              </w:rPr>
              <w:t xml:space="preserve">PCI-DSS: CVV must never be stored, under any circumstance</w:t>
            </w:r>
          </w:p>
        </w:tc>
      </w:tr>
      <w:tr>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Masking</w:t>
            </w:r>
          </w:p>
        </w:tc>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Partial redaction (names, emails, phone)</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Analysts see patterns, never the raw identity</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Tokenization</w:t>
            </w:r>
          </w:p>
        </w:tc>
        <w:tc>
          <w:tcPr>
            <w:tcW w:type="dxa" w:w="3200"/>
            <w:tcMar>
              <w:top w:type="dxa" w:w="80"/>
              <w:left w:type="dxa" w:w="120"/>
              <w:bottom w:type="dxa" w:w="80"/>
              <w:right w:type="dxa" w:w="120"/>
            </w:tcMar>
            <w:vAlign w:val="center"/>
          </w:tcPr>
          <w:p>
            <w:r>
              <w:rPr>
                <w:b w:val="false"/>
                <w:bCs w:val="false"/>
                <w:color w:val="000000"/>
                <w:sz w:val="20"/>
                <w:szCs w:val="20"/>
              </w:rPr>
              <w:t xml:space="preserve">Salted SHA-256 surrogate token</w:t>
            </w:r>
          </w:p>
        </w:tc>
        <w:tc>
          <w:tcPr>
            <w:tcW w:type="dxa" w:w="4200"/>
            <w:tcMar>
              <w:top w:type="dxa" w:w="80"/>
              <w:left w:type="dxa" w:w="120"/>
              <w:bottom w:type="dxa" w:w="80"/>
              <w:right w:type="dxa" w:w="120"/>
            </w:tcMar>
            <w:vAlign w:val="center"/>
          </w:tcPr>
          <w:p>
            <w:r>
              <w:rPr>
                <w:b w:val="false"/>
                <w:bCs w:val="false"/>
                <w:color w:val="000000"/>
                <w:sz w:val="20"/>
                <w:szCs w:val="20"/>
              </w:rPr>
              <w:t xml:space="preserve">Enables joins/analytics without exposing the real card number</w:t>
            </w:r>
          </w:p>
        </w:tc>
      </w:tr>
      <w:tr>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Encryption</w:t>
            </w:r>
          </w:p>
        </w:tc>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Fernet (AES-128), key held separately</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Defense-in-depth on top of tokenization, for authorized recovery only</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Feature Engineering</w:t>
            </w:r>
          </w:p>
        </w:tc>
        <w:tc>
          <w:tcPr>
            <w:tcW w:type="dxa" w:w="3200"/>
            <w:tcMar>
              <w:top w:type="dxa" w:w="80"/>
              <w:left w:type="dxa" w:w="120"/>
              <w:bottom w:type="dxa" w:w="80"/>
              <w:right w:type="dxa" w:w="120"/>
            </w:tcMar>
            <w:vAlign w:val="center"/>
          </w:tcPr>
          <w:p>
            <w:r>
              <w:rPr>
                <w:b w:val="false"/>
                <w:bCs w:val="false"/>
                <w:color w:val="000000"/>
                <w:sz w:val="20"/>
                <w:szCs w:val="20"/>
              </w:rPr>
              <w:t xml:space="preserve">Age buckets, spend categories</w:t>
            </w:r>
          </w:p>
        </w:tc>
        <w:tc>
          <w:tcPr>
            <w:tcW w:type="dxa" w:w="4200"/>
            <w:tcMar>
              <w:top w:type="dxa" w:w="80"/>
              <w:left w:type="dxa" w:w="120"/>
              <w:bottom w:type="dxa" w:w="80"/>
              <w:right w:type="dxa" w:w="120"/>
            </w:tcMar>
            <w:vAlign w:val="center"/>
          </w:tcPr>
          <w:p>
            <w:r>
              <w:rPr>
                <w:b w:val="false"/>
                <w:bCs w:val="false"/>
                <w:color w:val="000000"/>
                <w:sz w:val="20"/>
                <w:szCs w:val="20"/>
              </w:rPr>
              <w:t xml:space="preserve">Analytics-safe generalization of exact sensitive values</w:t>
            </w:r>
          </w:p>
        </w:tc>
      </w:tr>
      <w:tr>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RBAC</w:t>
            </w:r>
          </w:p>
        </w:tc>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Role-scoped table/column access</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Enforces the principle of least privilege across internal teams</w:t>
            </w:r>
          </w:p>
        </w:tc>
      </w:tr>
    </w:tbl>
    <w:p>
      <w:pPr>
        <w:pStyle w:val="Heading1"/>
        <w:spacing w:after="160" w:before="320"/>
      </w:pPr>
      <w:r>
        <w:t xml:space="preserve">6. Access Control (RBAC)</w:t>
      </w:r>
    </w:p>
    <w:p>
      <w:pPr>
        <w:spacing w:after="160"/>
        <w:jc w:val="both"/>
      </w:pPr>
      <w:r>
        <w:rPr>
          <w:sz w:val="22"/>
          <w:szCs w:val="22"/>
        </w:rPr>
        <w:t xml:space="preserve">Different internal roles are granted different views of the data, simulating what Databricks Unity Catalog grants or table ACLs would enforce in a production deployment: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1F3864" w:val="clear"/>
            <w:tcMar>
              <w:top w:type="dxa" w:w="80"/>
              <w:left w:type="dxa" w:w="120"/>
              <w:bottom w:type="dxa" w:w="80"/>
              <w:right w:type="dxa" w:w="120"/>
            </w:tcMar>
            <w:vAlign w:val="center"/>
          </w:tcPr>
          <w:p>
            <w:r>
              <w:rPr>
                <w:b/>
                <w:bCs/>
                <w:color w:val="FFFFFF"/>
                <w:sz w:val="20"/>
                <w:szCs w:val="20"/>
              </w:rPr>
              <w:t xml:space="preserve">Role</w:t>
            </w:r>
          </w:p>
        </w:tc>
        <w:tc>
          <w:tcPr>
            <w:tcW w:type="dxa" w:w="4200"/>
            <w:shd w:fill="1F3864" w:val="clear"/>
            <w:tcMar>
              <w:top w:type="dxa" w:w="80"/>
              <w:left w:type="dxa" w:w="120"/>
              <w:bottom w:type="dxa" w:w="80"/>
              <w:right w:type="dxa" w:w="120"/>
            </w:tcMar>
            <w:vAlign w:val="center"/>
          </w:tcPr>
          <w:p>
            <w:r>
              <w:rPr>
                <w:b/>
                <w:bCs/>
                <w:color w:val="FFFFFF"/>
                <w:sz w:val="20"/>
                <w:szCs w:val="20"/>
              </w:rPr>
              <w:t xml:space="preserve">Layer Access</w:t>
            </w:r>
          </w:p>
        </w:tc>
        <w:tc>
          <w:tcPr>
            <w:tcW w:type="dxa" w:w="2400"/>
            <w:shd w:fill="1F3864" w:val="clear"/>
            <w:tcMar>
              <w:top w:type="dxa" w:w="80"/>
              <w:left w:type="dxa" w:w="120"/>
              <w:bottom w:type="dxa" w:w="80"/>
              <w:right w:type="dxa" w:w="120"/>
            </w:tcMar>
            <w:vAlign w:val="center"/>
          </w:tcPr>
          <w:p>
            <w:r>
              <w:rPr>
                <w:b/>
                <w:bCs/>
                <w:color w:val="FFFFFF"/>
                <w:sz w:val="20"/>
                <w:szCs w:val="20"/>
              </w:rPr>
              <w:t xml:space="preserve">Can Decrypt Card Token?</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business_analyst</w:t>
            </w:r>
          </w:p>
        </w:tc>
        <w:tc>
          <w:tcPr>
            <w:tcW w:type="dxa" w:w="4200"/>
            <w:tcMar>
              <w:top w:type="dxa" w:w="80"/>
              <w:left w:type="dxa" w:w="120"/>
              <w:bottom w:type="dxa" w:w="80"/>
              <w:right w:type="dxa" w:w="120"/>
            </w:tcMar>
            <w:vAlign w:val="center"/>
          </w:tcPr>
          <w:p>
            <w:r>
              <w:rPr>
                <w:b w:val="false"/>
                <w:bCs w:val="false"/>
                <w:color w:val="000000"/>
                <w:sz w:val="20"/>
                <w:szCs w:val="20"/>
              </w:rPr>
              <w:t xml:space="preserve">Gold only</w:t>
            </w:r>
          </w:p>
        </w:tc>
        <w:tc>
          <w:tcPr>
            <w:tcW w:type="dxa" w:w="2400"/>
            <w:tcMar>
              <w:top w:type="dxa" w:w="80"/>
              <w:left w:type="dxa" w:w="120"/>
              <w:bottom w:type="dxa" w:w="80"/>
              <w:right w:type="dxa" w:w="120"/>
            </w:tcMar>
            <w:vAlign w:val="center"/>
          </w:tcPr>
          <w:p>
            <w:r>
              <w:rPr>
                <w:b w:val="false"/>
                <w:bCs w:val="false"/>
                <w:color w:val="000000"/>
                <w:sz w:val="20"/>
                <w:szCs w:val="20"/>
              </w:rPr>
              <w:t xml:space="preserve">No</w:t>
            </w:r>
          </w:p>
        </w:tc>
      </w:tr>
      <w:tr>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data_scientist</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Silver, excluding encrypted token column</w:t>
            </w:r>
          </w:p>
        </w:tc>
        <w:tc>
          <w:tcPr>
            <w:tcW w:type="dxa" w:w="2400"/>
            <w:shd w:fill="F2F2F2" w:val="clear"/>
            <w:tcMar>
              <w:top w:type="dxa" w:w="80"/>
              <w:left w:type="dxa" w:w="120"/>
              <w:bottom w:type="dxa" w:w="80"/>
              <w:right w:type="dxa" w:w="120"/>
            </w:tcMar>
            <w:vAlign w:val="center"/>
          </w:tcPr>
          <w:p>
            <w:r>
              <w:rPr>
                <w:b w:val="false"/>
                <w:bCs w:val="false"/>
                <w:color w:val="000000"/>
                <w:sz w:val="20"/>
                <w:szCs w:val="20"/>
              </w:rPr>
              <w:t xml:space="preserve">No</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data_engineer</w:t>
            </w:r>
          </w:p>
        </w:tc>
        <w:tc>
          <w:tcPr>
            <w:tcW w:type="dxa" w:w="4200"/>
            <w:tcMar>
              <w:top w:type="dxa" w:w="80"/>
              <w:left w:type="dxa" w:w="120"/>
              <w:bottom w:type="dxa" w:w="80"/>
              <w:right w:type="dxa" w:w="120"/>
            </w:tcMar>
            <w:vAlign w:val="center"/>
          </w:tcPr>
          <w:p>
            <w:r>
              <w:rPr>
                <w:b w:val="false"/>
                <w:bCs w:val="false"/>
                <w:color w:val="000000"/>
                <w:sz w:val="20"/>
                <w:szCs w:val="20"/>
              </w:rPr>
              <w:t xml:space="preserve">Silver, full access</w:t>
            </w:r>
          </w:p>
        </w:tc>
        <w:tc>
          <w:tcPr>
            <w:tcW w:type="dxa" w:w="2400"/>
            <w:tcMar>
              <w:top w:type="dxa" w:w="80"/>
              <w:left w:type="dxa" w:w="120"/>
              <w:bottom w:type="dxa" w:w="80"/>
              <w:right w:type="dxa" w:w="120"/>
            </w:tcMar>
            <w:vAlign w:val="center"/>
          </w:tcPr>
          <w:p>
            <w:r>
              <w:rPr>
                <w:b w:val="false"/>
                <w:bCs w:val="false"/>
                <w:color w:val="000000"/>
                <w:sz w:val="20"/>
                <w:szCs w:val="20"/>
              </w:rPr>
              <w:t xml:space="preserve">No</w:t>
            </w:r>
          </w:p>
        </w:tc>
      </w:tr>
      <w:tr>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compliance_admin</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Bronze + decryption rights</w:t>
            </w:r>
          </w:p>
        </w:tc>
        <w:tc>
          <w:tcPr>
            <w:tcW w:type="dxa" w:w="2400"/>
            <w:shd w:fill="F2F2F2" w:val="clear"/>
            <w:tcMar>
              <w:top w:type="dxa" w:w="80"/>
              <w:left w:type="dxa" w:w="120"/>
              <w:bottom w:type="dxa" w:w="80"/>
              <w:right w:type="dxa" w:w="120"/>
            </w:tcMar>
            <w:vAlign w:val="center"/>
          </w:tcPr>
          <w:p>
            <w:r>
              <w:rPr>
                <w:b w:val="false"/>
                <w:bCs w:val="false"/>
                <w:color w:val="000000"/>
                <w:sz w:val="20"/>
                <w:szCs w:val="20"/>
              </w:rPr>
              <w:t xml:space="preserve">Yes — fraud investigation only</w:t>
            </w:r>
          </w:p>
        </w:tc>
      </w:tr>
    </w:tbl>
    <w:p>
      <w:pPr>
        <w:spacing w:before="200"/>
      </w:pPr>
    </w:p>
    <w:p>
      <w:pPr>
        <w:spacing w:after="160"/>
        <w:jc w:val="both"/>
      </w:pPr>
      <w:r>
        <w:rPr>
          <w:sz w:val="22"/>
          <w:szCs w:val="22"/>
        </w:rPr>
        <w:t xml:space="preserve">This access model was demonstrated live in the pipeline: a data_scientist role attempting to decrypt a card token is correctly denied, while a compliance_admin role performing the same operation succeeds — confirming the access boundary is enforced in practice, not just described.</w:t>
      </w:r>
    </w:p>
    <w:p>
      <w:pPr>
        <w:pStyle w:val="Heading1"/>
        <w:spacing w:after="160" w:before="320"/>
      </w:pPr>
      <w:r>
        <w:t xml:space="preserve">7. Compliance Mapping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shd w:fill="1F3864" w:val="clear"/>
            <w:tcMar>
              <w:top w:type="dxa" w:w="80"/>
              <w:left w:type="dxa" w:w="120"/>
              <w:bottom w:type="dxa" w:w="80"/>
              <w:right w:type="dxa" w:w="120"/>
            </w:tcMar>
            <w:vAlign w:val="center"/>
          </w:tcPr>
          <w:p>
            <w:r>
              <w:rPr>
                <w:b/>
                <w:bCs/>
                <w:color w:val="FFFFFF"/>
                <w:sz w:val="20"/>
                <w:szCs w:val="20"/>
              </w:rPr>
              <w:t xml:space="preserve">Regulation</w:t>
            </w:r>
          </w:p>
        </w:tc>
        <w:tc>
          <w:tcPr>
            <w:tcW w:type="dxa" w:w="3200"/>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200"/>
            <w:shd w:fill="1F3864" w:val="clear"/>
            <w:tcMar>
              <w:top w:type="dxa" w:w="80"/>
              <w:left w:type="dxa" w:w="120"/>
              <w:bottom w:type="dxa" w:w="80"/>
              <w:right w:type="dxa" w:w="120"/>
            </w:tcMar>
            <w:vAlign w:val="center"/>
          </w:tcPr>
          <w:p>
            <w:r>
              <w:rPr>
                <w:b/>
                <w:bCs/>
                <w:color w:val="FFFFFF"/>
                <w:sz w:val="20"/>
                <w:szCs w:val="20"/>
              </w:rPr>
              <w:t xml:space="preserve">How the Pipeline Satisfies It</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PCI-DSS</w:t>
            </w:r>
          </w:p>
        </w:tc>
        <w:tc>
          <w:tcPr>
            <w:tcW w:type="dxa" w:w="3200"/>
            <w:tcMar>
              <w:top w:type="dxa" w:w="80"/>
              <w:left w:type="dxa" w:w="120"/>
              <w:bottom w:type="dxa" w:w="80"/>
              <w:right w:type="dxa" w:w="120"/>
            </w:tcMar>
            <w:vAlign w:val="center"/>
          </w:tcPr>
          <w:p>
            <w:r>
              <w:rPr>
                <w:b w:val="false"/>
                <w:bCs w:val="false"/>
                <w:color w:val="000000"/>
                <w:sz w:val="20"/>
                <w:szCs w:val="20"/>
              </w:rPr>
              <w:t xml:space="preserve">Never store CVV under any circumstance</w:t>
            </w:r>
          </w:p>
        </w:tc>
        <w:tc>
          <w:tcPr>
            <w:tcW w:type="dxa" w:w="4200"/>
            <w:tcMar>
              <w:top w:type="dxa" w:w="80"/>
              <w:left w:type="dxa" w:w="120"/>
              <w:bottom w:type="dxa" w:w="80"/>
              <w:right w:type="dxa" w:w="120"/>
            </w:tcMar>
            <w:vAlign w:val="center"/>
          </w:tcPr>
          <w:p>
            <w:r>
              <w:rPr>
                <w:b w:val="false"/>
                <w:bCs w:val="false"/>
                <w:color w:val="000000"/>
                <w:sz w:val="20"/>
                <w:szCs w:val="20"/>
              </w:rPr>
              <w:t xml:space="preserve">Hard-dropped before Bronze is ever written</w:t>
            </w:r>
          </w:p>
        </w:tc>
      </w:tr>
      <w:tr>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PCI-DSS</w:t>
            </w:r>
          </w:p>
        </w:tc>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Render PAN (card number) unreadable at rest</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Tokenized (SHA-256) and encrypted (Fernet/AES-128)</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GDPR</w:t>
            </w:r>
          </w:p>
        </w:tc>
        <w:tc>
          <w:tcPr>
            <w:tcW w:type="dxa" w:w="3200"/>
            <w:tcMar>
              <w:top w:type="dxa" w:w="80"/>
              <w:left w:type="dxa" w:w="120"/>
              <w:bottom w:type="dxa" w:w="80"/>
              <w:right w:type="dxa" w:w="120"/>
            </w:tcMar>
            <w:vAlign w:val="center"/>
          </w:tcPr>
          <w:p>
            <w:r>
              <w:rPr>
                <w:b w:val="false"/>
                <w:bCs w:val="false"/>
                <w:color w:val="000000"/>
                <w:sz w:val="20"/>
                <w:szCs w:val="20"/>
              </w:rPr>
              <w:t xml:space="preserve">Data minimization</w:t>
            </w:r>
          </w:p>
        </w:tc>
        <w:tc>
          <w:tcPr>
            <w:tcW w:type="dxa" w:w="4200"/>
            <w:tcMar>
              <w:top w:type="dxa" w:w="80"/>
              <w:left w:type="dxa" w:w="120"/>
              <w:bottom w:type="dxa" w:w="80"/>
              <w:right w:type="dxa" w:w="120"/>
            </w:tcMar>
            <w:vAlign w:val="center"/>
          </w:tcPr>
          <w:p>
            <w:r>
              <w:rPr>
                <w:b w:val="false"/>
                <w:bCs w:val="false"/>
                <w:color w:val="000000"/>
                <w:sz w:val="20"/>
                <w:szCs w:val="20"/>
              </w:rPr>
              <w:t xml:space="preserve">Gold retains zero identifiers, only aggregates</w:t>
            </w:r>
          </w:p>
        </w:tc>
      </w:tr>
      <w:tr>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GDPR</w:t>
            </w:r>
          </w:p>
        </w:tc>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Right to erasure</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Deleting by customer_id across Bronze/Silver satisfies this</w:t>
            </w:r>
          </w:p>
        </w:tc>
      </w:tr>
      <w:tr>
        <w:tc>
          <w:tcPr>
            <w:tcW w:type="dxa" w:w="1800"/>
            <w:tcMar>
              <w:top w:type="dxa" w:w="80"/>
              <w:left w:type="dxa" w:w="120"/>
              <w:bottom w:type="dxa" w:w="80"/>
              <w:right w:type="dxa" w:w="120"/>
            </w:tcMar>
            <w:vAlign w:val="center"/>
          </w:tcPr>
          <w:p>
            <w:r>
              <w:rPr>
                <w:b w:val="false"/>
                <w:bCs w:val="false"/>
                <w:color w:val="000000"/>
                <w:sz w:val="20"/>
                <w:szCs w:val="20"/>
              </w:rPr>
              <w:t xml:space="preserve">GDPR / DPDP</w:t>
            </w:r>
          </w:p>
        </w:tc>
        <w:tc>
          <w:tcPr>
            <w:tcW w:type="dxa" w:w="3200"/>
            <w:tcMar>
              <w:top w:type="dxa" w:w="80"/>
              <w:left w:type="dxa" w:w="120"/>
              <w:bottom w:type="dxa" w:w="80"/>
              <w:right w:type="dxa" w:w="120"/>
            </w:tcMar>
            <w:vAlign w:val="center"/>
          </w:tcPr>
          <w:p>
            <w:r>
              <w:rPr>
                <w:b w:val="false"/>
                <w:bCs w:val="false"/>
                <w:color w:val="000000"/>
                <w:sz w:val="20"/>
                <w:szCs w:val="20"/>
              </w:rPr>
              <w:t xml:space="preserve">Purpose limitation</w:t>
            </w:r>
          </w:p>
        </w:tc>
        <w:tc>
          <w:tcPr>
            <w:tcW w:type="dxa" w:w="4200"/>
            <w:tcMar>
              <w:top w:type="dxa" w:w="80"/>
              <w:left w:type="dxa" w:w="120"/>
              <w:bottom w:type="dxa" w:w="80"/>
              <w:right w:type="dxa" w:w="120"/>
            </w:tcMar>
            <w:vAlign w:val="center"/>
          </w:tcPr>
          <w:p>
            <w:r>
              <w:rPr>
                <w:b w:val="false"/>
                <w:bCs w:val="false"/>
                <w:color w:val="000000"/>
                <w:sz w:val="20"/>
                <w:szCs w:val="20"/>
              </w:rPr>
              <w:t xml:space="preserve">RBAC restricts business analysts to the Gold-only aggregated view</w:t>
            </w:r>
          </w:p>
        </w:tc>
      </w:tr>
      <w:tr>
        <w:tc>
          <w:tcPr>
            <w:tcW w:type="dxa" w:w="1800"/>
            <w:shd w:fill="F2F2F2" w:val="clear"/>
            <w:tcMar>
              <w:top w:type="dxa" w:w="80"/>
              <w:left w:type="dxa" w:w="120"/>
              <w:bottom w:type="dxa" w:w="80"/>
              <w:right w:type="dxa" w:w="120"/>
            </w:tcMar>
            <w:vAlign w:val="center"/>
          </w:tcPr>
          <w:p>
            <w:r>
              <w:rPr>
                <w:b w:val="false"/>
                <w:bCs w:val="false"/>
                <w:color w:val="000000"/>
                <w:sz w:val="20"/>
                <w:szCs w:val="20"/>
              </w:rPr>
              <w:t xml:space="preserve">DPDP (India)</w:t>
            </w:r>
          </w:p>
        </w:tc>
        <w:tc>
          <w:tcPr>
            <w:tcW w:type="dxa" w:w="3200"/>
            <w:shd w:fill="F2F2F2" w:val="clear"/>
            <w:tcMar>
              <w:top w:type="dxa" w:w="80"/>
              <w:left w:type="dxa" w:w="120"/>
              <w:bottom w:type="dxa" w:w="80"/>
              <w:right w:type="dxa" w:w="120"/>
            </w:tcMar>
            <w:vAlign w:val="center"/>
          </w:tcPr>
          <w:p>
            <w:r>
              <w:rPr>
                <w:b w:val="false"/>
                <w:bCs w:val="false"/>
                <w:color w:val="000000"/>
                <w:sz w:val="20"/>
                <w:szCs w:val="20"/>
              </w:rPr>
              <w:t xml:space="preserve">Reasonable security safeguards</w:t>
            </w:r>
          </w:p>
        </w:tc>
        <w:tc>
          <w:tcPr>
            <w:tcW w:type="dxa" w:w="4200"/>
            <w:shd w:fill="F2F2F2" w:val="clear"/>
            <w:tcMar>
              <w:top w:type="dxa" w:w="80"/>
              <w:left w:type="dxa" w:w="120"/>
              <w:bottom w:type="dxa" w:w="80"/>
              <w:right w:type="dxa" w:w="120"/>
            </w:tcMar>
            <w:vAlign w:val="center"/>
          </w:tcPr>
          <w:p>
            <w:r>
              <w:rPr>
                <w:b w:val="false"/>
                <w:bCs w:val="false"/>
                <w:color w:val="000000"/>
                <w:sz w:val="20"/>
                <w:szCs w:val="20"/>
              </w:rPr>
              <w:t xml:space="preserve">Encryption, masking, and access control combined as defense-in-depth</w:t>
            </w:r>
          </w:p>
        </w:tc>
      </w:tr>
    </w:tbl>
    <w:p>
      <w:pPr>
        <w:pStyle w:val="Heading1"/>
        <w:spacing w:after="160" w:before="320"/>
      </w:pPr>
      <w:r>
        <w:t xml:space="preserve">8. Technology Stack &amp; Justification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r>
              <w:rPr>
                <w:b/>
                <w:bCs/>
                <w:color w:val="FFFFFF"/>
                <w:sz w:val="20"/>
                <w:szCs w:val="20"/>
              </w:rPr>
              <w:t xml:space="preserve">Component</w:t>
            </w:r>
          </w:p>
        </w:tc>
        <w:tc>
          <w:tcPr>
            <w:tcW w:type="dxa" w:w="6900"/>
            <w:shd w:fill="1F3864" w:val="clear"/>
            <w:tcMar>
              <w:top w:type="dxa" w:w="80"/>
              <w:left w:type="dxa" w:w="120"/>
              <w:bottom w:type="dxa" w:w="80"/>
              <w:right w:type="dxa" w:w="120"/>
            </w:tcMar>
            <w:vAlign w:val="center"/>
          </w:tcPr>
          <w:p>
            <w:r>
              <w:rPr>
                <w:b/>
                <w:bCs/>
                <w:color w:val="FFFFFF"/>
                <w:sz w:val="20"/>
                <w:szCs w:val="20"/>
              </w:rPr>
              <w:t xml:space="preserve">Role in the Pipeline</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Python</w:t>
            </w:r>
          </w:p>
        </w:tc>
        <w:tc>
          <w:tcPr>
            <w:tcW w:type="dxa" w:w="6900"/>
            <w:tcMar>
              <w:top w:type="dxa" w:w="80"/>
              <w:left w:type="dxa" w:w="120"/>
              <w:bottom w:type="dxa" w:w="80"/>
              <w:right w:type="dxa" w:w="120"/>
            </w:tcMar>
            <w:vAlign w:val="center"/>
          </w:tcPr>
          <w:p>
            <w:r>
              <w:rPr>
                <w:b w:val="false"/>
                <w:bCs w:val="false"/>
                <w:color w:val="000000"/>
                <w:sz w:val="20"/>
                <w:szCs w:val="20"/>
              </w:rPr>
              <w:t xml:space="preserve">Orchestrates the batch processing scripts; generates and reads raw retail data.</w:t>
            </w:r>
          </w:p>
        </w:tc>
      </w:tr>
      <w:tr>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PySpark</w:t>
            </w:r>
          </w:p>
        </w:tc>
        <w:tc>
          <w:tcPr>
            <w:tcW w:type="dxa" w:w="6900"/>
            <w:shd w:fill="F2F2F2" w:val="clear"/>
            <w:tcMar>
              <w:top w:type="dxa" w:w="80"/>
              <w:left w:type="dxa" w:w="120"/>
              <w:bottom w:type="dxa" w:w="80"/>
              <w:right w:type="dxa" w:w="120"/>
            </w:tcMar>
            <w:vAlign w:val="center"/>
          </w:tcPr>
          <w:p>
            <w:r>
              <w:rPr>
                <w:b w:val="false"/>
                <w:bCs w:val="false"/>
                <w:color w:val="000000"/>
                <w:sz w:val="20"/>
                <w:szCs w:val="20"/>
              </w:rPr>
              <w:t xml:space="preserve">Drives all transformations across Bronze, Silver, and Gold at scale.</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Databricks</w:t>
            </w:r>
          </w:p>
        </w:tc>
        <w:tc>
          <w:tcPr>
            <w:tcW w:type="dxa" w:w="6900"/>
            <w:tcMar>
              <w:top w:type="dxa" w:w="80"/>
              <w:left w:type="dxa" w:w="120"/>
              <w:bottom w:type="dxa" w:w="80"/>
              <w:right w:type="dxa" w:w="120"/>
            </w:tcMar>
            <w:vAlign w:val="center"/>
          </w:tcPr>
          <w:p>
            <w:r>
              <w:rPr>
                <w:b w:val="false"/>
                <w:bCs w:val="false"/>
                <w:color w:val="000000"/>
                <w:sz w:val="20"/>
                <w:szCs w:val="20"/>
              </w:rPr>
              <w:t xml:space="preserve">Managed Spark runtime and collaborative notebook environment.</w:t>
            </w:r>
          </w:p>
        </w:tc>
      </w:tr>
      <w:tr>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Delta Lake</w:t>
            </w:r>
          </w:p>
        </w:tc>
        <w:tc>
          <w:tcPr>
            <w:tcW w:type="dxa" w:w="6900"/>
            <w:shd w:fill="F2F2F2" w:val="clear"/>
            <w:tcMar>
              <w:top w:type="dxa" w:w="80"/>
              <w:left w:type="dxa" w:w="120"/>
              <w:bottom w:type="dxa" w:w="80"/>
              <w:right w:type="dxa" w:w="120"/>
            </w:tcMar>
            <w:vAlign w:val="center"/>
          </w:tcPr>
          <w:p>
            <w:r>
              <w:rPr>
                <w:b w:val="false"/>
                <w:bCs w:val="false"/>
                <w:color w:val="000000"/>
                <w:sz w:val="20"/>
                <w:szCs w:val="20"/>
              </w:rPr>
              <w:t xml:space="preserve">Storage layer for all tables; ACID guarantees and auditability across layers.</w:t>
            </w:r>
          </w:p>
        </w:tc>
      </w:tr>
      <w:tr>
        <w:tc>
          <w:tcPr>
            <w:tcW w:type="dxa" w:w="2600"/>
            <w:tcMar>
              <w:top w:type="dxa" w:w="80"/>
              <w:left w:type="dxa" w:w="120"/>
              <w:bottom w:type="dxa" w:w="80"/>
              <w:right w:type="dxa" w:w="120"/>
            </w:tcMar>
            <w:vAlign w:val="center"/>
          </w:tcPr>
          <w:p>
            <w:r>
              <w:rPr>
                <w:b w:val="false"/>
                <w:bCs w:val="false"/>
                <w:color w:val="000000"/>
                <w:sz w:val="20"/>
                <w:szCs w:val="20"/>
              </w:rPr>
              <w:t xml:space="preserve">cryptography (Fernet)</w:t>
            </w:r>
          </w:p>
        </w:tc>
        <w:tc>
          <w:tcPr>
            <w:tcW w:type="dxa" w:w="6900"/>
            <w:tcMar>
              <w:top w:type="dxa" w:w="80"/>
              <w:left w:type="dxa" w:w="120"/>
              <w:bottom w:type="dxa" w:w="80"/>
              <w:right w:type="dxa" w:w="120"/>
            </w:tcMar>
            <w:vAlign w:val="center"/>
          </w:tcPr>
          <w:p>
            <w:r>
              <w:rPr>
                <w:b w:val="false"/>
                <w:bCs w:val="false"/>
                <w:color w:val="000000"/>
                <w:sz w:val="20"/>
                <w:szCs w:val="20"/>
              </w:rPr>
              <w:t xml:space="preserve">Symmetric encryption (AES-128) of the tokenized card surrogate.</w:t>
            </w:r>
          </w:p>
        </w:tc>
      </w:tr>
      <w:tr>
        <w:tc>
          <w:tcPr>
            <w:tcW w:type="dxa" w:w="2600"/>
            <w:shd w:fill="F2F2F2" w:val="clear"/>
            <w:tcMar>
              <w:top w:type="dxa" w:w="80"/>
              <w:left w:type="dxa" w:w="120"/>
              <w:bottom w:type="dxa" w:w="80"/>
              <w:right w:type="dxa" w:w="120"/>
            </w:tcMar>
            <w:vAlign w:val="center"/>
          </w:tcPr>
          <w:p>
            <w:r>
              <w:rPr>
                <w:b w:val="false"/>
                <w:bCs w:val="false"/>
                <w:color w:val="000000"/>
                <w:sz w:val="20"/>
                <w:szCs w:val="20"/>
              </w:rPr>
              <w:t xml:space="preserve">hashlib (SHA-256)</w:t>
            </w:r>
          </w:p>
        </w:tc>
        <w:tc>
          <w:tcPr>
            <w:tcW w:type="dxa" w:w="6900"/>
            <w:shd w:fill="F2F2F2" w:val="clear"/>
            <w:tcMar>
              <w:top w:type="dxa" w:w="80"/>
              <w:left w:type="dxa" w:w="120"/>
              <w:bottom w:type="dxa" w:w="80"/>
              <w:right w:type="dxa" w:w="120"/>
            </w:tcMar>
            <w:vAlign w:val="center"/>
          </w:tcPr>
          <w:p>
            <w:r>
              <w:rPr>
                <w:b w:val="false"/>
                <w:bCs w:val="false"/>
                <w:color w:val="000000"/>
                <w:sz w:val="20"/>
                <w:szCs w:val="20"/>
              </w:rPr>
              <w:t xml:space="preserve">One-way salted hashing for irreversible card-number tokenization.</w:t>
            </w:r>
          </w:p>
        </w:tc>
      </w:tr>
    </w:tbl>
    <w:p>
      <w:pPr>
        <w:pStyle w:val="Heading1"/>
        <w:spacing w:after="160" w:before="320"/>
      </w:pPr>
      <w:r>
        <w:t xml:space="preserve">9. Gold Layer — Business Analytics Dashboard</w:t>
      </w:r>
    </w:p>
    <w:p>
      <w:pPr>
        <w:spacing w:after="160"/>
        <w:jc w:val="both"/>
      </w:pPr>
      <w:r>
        <w:rPr>
          <w:sz w:val="22"/>
          <w:szCs w:val="22"/>
        </w:rPr>
        <w:t xml:space="preserve">The Gold layer powers a four-panel analytics dashboard, built with matplotlib and rendered directly in the notebook, giving stakeholders an at-a-glance view of retail spend behaviour without any access to underlying customer identities:</w:t>
      </w:r>
    </w:p>
    <w:p>
      <w:pPr>
        <w:pStyle w:val="ListParagraph"/>
        <w:numPr>
          <w:ilvl w:val="0"/>
          <w:numId w:val="2"/>
        </w:numPr>
        <w:spacing w:after="80"/>
      </w:pPr>
      <w:r>
        <w:rPr>
          <w:sz w:val="22"/>
          <w:szCs w:val="22"/>
        </w:rPr>
        <w:t xml:space="preserve">Total Spend by Customer — a per-customer revenue view, keyed only by surrogate customer ID.</w:t>
      </w:r>
    </w:p>
    <w:p>
      <w:pPr>
        <w:pStyle w:val="ListParagraph"/>
        <w:numPr>
          <w:ilvl w:val="0"/>
          <w:numId w:val="2"/>
        </w:numPr>
        <w:spacing w:after="80"/>
      </w:pPr>
      <w:r>
        <w:rPr>
          <w:sz w:val="22"/>
          <w:szCs w:val="22"/>
        </w:rPr>
        <w:t xml:space="preserve">Transaction Distribution by Spend Category — the proportion of transactions falling into Low (&lt;1,000), Medium (1,000–5,000), and High (&gt;5,000) spend bands.</w:t>
      </w:r>
    </w:p>
    <w:p>
      <w:pPr>
        <w:pStyle w:val="ListParagraph"/>
        <w:numPr>
          <w:ilvl w:val="0"/>
          <w:numId w:val="2"/>
        </w:numPr>
        <w:spacing w:after="80"/>
      </w:pPr>
      <w:r>
        <w:rPr>
          <w:sz w:val="22"/>
          <w:szCs w:val="22"/>
        </w:rPr>
        <w:t xml:space="preserve">Total vs Average Amount by Spend Category — comparing aggregate and average transaction value across the three spend bands.</w:t>
      </w:r>
    </w:p>
    <w:p>
      <w:pPr>
        <w:pStyle w:val="ListParagraph"/>
        <w:numPr>
          <w:ilvl w:val="0"/>
          <w:numId w:val="2"/>
        </w:numPr>
        <w:spacing w:after="80"/>
      </w:pPr>
      <w:r>
        <w:rPr>
          <w:sz w:val="22"/>
          <w:szCs w:val="22"/>
        </w:rPr>
        <w:t xml:space="preserve">Average Spend per Customer (Ranked) — a ranked view surfacing the full distribution of customer value, without exposing any single customer's identity.</w:t>
      </w:r>
    </w:p>
    <w:p>
      <w:pPr>
        <w:pStyle w:val="Heading1"/>
        <w:spacing w:after="160" w:before="320"/>
      </w:pPr>
      <w:r>
        <w:t xml:space="preserve">10. Business Value &amp; Operational Impact</w:t>
      </w:r>
    </w:p>
    <w:p>
      <w:pPr>
        <w:pStyle w:val="ListParagraph"/>
        <w:numPr>
          <w:ilvl w:val="0"/>
          <w:numId w:val="2"/>
        </w:numPr>
        <w:spacing w:after="80"/>
      </w:pPr>
      <w:r>
        <w:rPr>
          <w:sz w:val="22"/>
          <w:szCs w:val="22"/>
        </w:rPr>
        <w:t xml:space="preserve">Breach Risk Reduction — even in the event of unauthorized access to Silver or Gold, no usable PII or PCI data is exposed.</w:t>
      </w:r>
    </w:p>
    <w:p>
      <w:pPr>
        <w:pStyle w:val="ListParagraph"/>
        <w:numPr>
          <w:ilvl w:val="0"/>
          <w:numId w:val="2"/>
        </w:numPr>
        <w:spacing w:after="80"/>
      </w:pPr>
      <w:r>
        <w:rPr>
          <w:sz w:val="22"/>
          <w:szCs w:val="22"/>
        </w:rPr>
        <w:t xml:space="preserve">Regulatory Confidence — the pipeline's controls map directly onto PCI-DSS, GDPR, and DPDP requirements, reducing compliance risk.</w:t>
      </w:r>
    </w:p>
    <w:p>
      <w:pPr>
        <w:pStyle w:val="ListParagraph"/>
        <w:numPr>
          <w:ilvl w:val="0"/>
          <w:numId w:val="2"/>
        </w:numPr>
        <w:spacing w:after="80"/>
      </w:pPr>
      <w:r>
        <w:rPr>
          <w:sz w:val="22"/>
          <w:szCs w:val="22"/>
        </w:rPr>
        <w:t xml:space="preserve">Least-Privilege Analytics — business analysts get full analytical value from Gold without ever needing raw customer access.</w:t>
      </w:r>
    </w:p>
    <w:p>
      <w:pPr>
        <w:pStyle w:val="ListParagraph"/>
        <w:numPr>
          <w:ilvl w:val="0"/>
          <w:numId w:val="2"/>
        </w:numPr>
        <w:spacing w:after="80"/>
      </w:pPr>
      <w:r>
        <w:rPr>
          <w:sz w:val="22"/>
          <w:szCs w:val="22"/>
        </w:rPr>
        <w:t xml:space="preserve">Auditable Investigation Path — compliance_admin retains a narrow, logged path to decrypt payment tokens strictly for fraud investigation, without broad standing access.</w:t>
      </w:r>
    </w:p>
    <w:p>
      <w:pPr>
        <w:pStyle w:val="Heading1"/>
        <w:spacing w:after="160" w:before="320"/>
      </w:pPr>
      <w:r>
        <w:t xml:space="preserve">11. Conclusion</w:t>
      </w:r>
    </w:p>
    <w:p>
      <w:pPr>
        <w:spacing w:after="160"/>
        <w:jc w:val="both"/>
      </w:pPr>
      <w:r>
        <w:rPr>
          <w:sz w:val="22"/>
          <w:szCs w:val="22"/>
        </w:rPr>
        <w:t xml:space="preserve">The Secure Retail Data Lakehouse demonstrates a complete, compliance-first data engineering pipeline: Bronze preserves lineage while eliminating the most dangerous field outright, Silver systematically removes every other raw identifier while preserving analytical value, and Gold delivers a fully anonymized, dashboard-ready view of the business. Combined with role-based access control, the pipeline demonstrates that strong security and useful analytics are not in tension — they are achieved together, by design, at every layer of the architecture.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Secure Retail Data Lakehouse — Data Engineering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2026-07-14T01:24:17.566Z</dcterms:created>
  <dcterms:modified xsi:type="dcterms:W3CDTF">2026-07-14T01:24:17.575Z</dcterms:modified>
</cp:coreProperties>
</file>

<file path=docProps/custom.xml><?xml version="1.0" encoding="utf-8"?>
<Properties xmlns="http://schemas.openxmlformats.org/officeDocument/2006/custom-properties" xmlns:vt="http://schemas.openxmlformats.org/officeDocument/2006/docPropsVTypes"/>
</file>