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F201" w14:textId="176F2114" w:rsidR="00916D1F" w:rsidRDefault="006670A9" w:rsidP="006670A9">
      <w:pPr>
        <w:jc w:val="center"/>
        <w:rPr>
          <w:b/>
          <w:bCs/>
          <w:color w:val="0F4761" w:themeColor="accent1" w:themeShade="BF"/>
          <w:sz w:val="40"/>
          <w:szCs w:val="40"/>
          <w:lang w:val="en-US"/>
        </w:rPr>
      </w:pPr>
      <w:r w:rsidRPr="006670A9">
        <w:rPr>
          <w:b/>
          <w:bCs/>
          <w:color w:val="0F4761" w:themeColor="accent1" w:themeShade="BF"/>
          <w:sz w:val="40"/>
          <w:szCs w:val="40"/>
        </w:rPr>
        <w:t>Risk Assessment</w:t>
      </w:r>
    </w:p>
    <w:p w14:paraId="7C56A6DC" w14:textId="77777777" w:rsidR="006670A9" w:rsidRPr="006670A9" w:rsidRDefault="006670A9" w:rsidP="006670A9">
      <w:pPr>
        <w:rPr>
          <w:b/>
          <w:bCs/>
          <w:color w:val="45B0E1" w:themeColor="accent1" w:themeTint="99"/>
          <w:sz w:val="32"/>
          <w:szCs w:val="32"/>
        </w:rPr>
      </w:pPr>
      <w:r w:rsidRPr="006670A9">
        <w:rPr>
          <w:b/>
          <w:bCs/>
          <w:color w:val="45B0E1" w:themeColor="accent1" w:themeTint="99"/>
          <w:sz w:val="32"/>
          <w:szCs w:val="32"/>
        </w:rPr>
        <w:t>1. Cannibalization Risk</w:t>
      </w:r>
    </w:p>
    <w:p w14:paraId="234C3019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Description:</w:t>
      </w:r>
      <w:r w:rsidRPr="006670A9">
        <w:rPr>
          <w:color w:val="0D0D0D" w:themeColor="text1" w:themeTint="F2"/>
          <w:sz w:val="28"/>
          <w:szCs w:val="28"/>
        </w:rPr>
        <w:t xml:space="preserve"> The "Smart Filter" and distraction-free features might work </w:t>
      </w:r>
      <w:r w:rsidRPr="006670A9">
        <w:rPr>
          <w:i/>
          <w:iCs/>
          <w:color w:val="0D0D0D" w:themeColor="text1" w:themeTint="F2"/>
          <w:sz w:val="28"/>
          <w:szCs w:val="28"/>
        </w:rPr>
        <w:t>too</w:t>
      </w:r>
      <w:r w:rsidRPr="006670A9">
        <w:rPr>
          <w:color w:val="0D0D0D" w:themeColor="text1" w:themeTint="F2"/>
          <w:sz w:val="28"/>
          <w:szCs w:val="28"/>
        </w:rPr>
        <w:t xml:space="preserve"> well. By efficiently guiding users to exactly what they need, we remove the "rabbit hole" effect (browsing related videos) that drives a significant portion of YouTube’s total session duration.</w:t>
      </w:r>
    </w:p>
    <w:p w14:paraId="3CDDF165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Impact:</w:t>
      </w:r>
      <w:r w:rsidRPr="006670A9">
        <w:rPr>
          <w:color w:val="0D0D0D" w:themeColor="text1" w:themeTint="F2"/>
          <w:sz w:val="28"/>
          <w:szCs w:val="28"/>
        </w:rPr>
        <w:t xml:space="preserve"> Reduction in "Time Spent" metrics, leading to fewer ad impressions per session and potentially harming the core algorithmic goal of maximizing watch time.</w:t>
      </w:r>
    </w:p>
    <w:p w14:paraId="39686181" w14:textId="77777777" w:rsidR="006670A9" w:rsidRPr="006670A9" w:rsidRDefault="006670A9" w:rsidP="006670A9">
      <w:pPr>
        <w:rPr>
          <w:b/>
          <w:bCs/>
          <w:color w:val="45B0E1" w:themeColor="accent1" w:themeTint="99"/>
          <w:sz w:val="32"/>
          <w:szCs w:val="32"/>
        </w:rPr>
      </w:pPr>
      <w:r w:rsidRPr="006670A9">
        <w:rPr>
          <w:b/>
          <w:bCs/>
          <w:color w:val="45B0E1" w:themeColor="accent1" w:themeTint="99"/>
          <w:sz w:val="32"/>
          <w:szCs w:val="32"/>
        </w:rPr>
        <w:t>2. Monetization Risk</w:t>
      </w:r>
    </w:p>
    <w:p w14:paraId="747176DD" w14:textId="77777777" w:rsidR="006670A9" w:rsidRPr="006670A9" w:rsidRDefault="006670A9" w:rsidP="006670A9">
      <w:pPr>
        <w:numPr>
          <w:ilvl w:val="0"/>
          <w:numId w:val="1"/>
        </w:numPr>
        <w:rPr>
          <w:b/>
          <w:bCs/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Description</w:t>
      </w:r>
      <w:r w:rsidRPr="006670A9">
        <w:rPr>
          <w:color w:val="0D0D0D" w:themeColor="text1" w:themeTint="F2"/>
          <w:sz w:val="28"/>
          <w:szCs w:val="28"/>
        </w:rPr>
        <w:t>: The Free Tier (MVP) might offer too much value (e.g., distraction-free UI, basic summarization), causing users to feel that the paid upgrade is unnecessary.</w:t>
      </w:r>
    </w:p>
    <w:p w14:paraId="3FE9F6CB" w14:textId="6912A611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Impact</w:t>
      </w:r>
      <w:r w:rsidRPr="006670A9">
        <w:rPr>
          <w:color w:val="0D0D0D" w:themeColor="text1" w:themeTint="F2"/>
          <w:sz w:val="28"/>
          <w:szCs w:val="28"/>
        </w:rPr>
        <w:t xml:space="preserve">: High User Acquisition (UA) but low Average Revenue Per User (ARPU). The product becomes a "cost </w:t>
      </w:r>
      <w:r w:rsidRPr="006670A9">
        <w:rPr>
          <w:color w:val="0D0D0D" w:themeColor="text1" w:themeTint="F2"/>
          <w:sz w:val="28"/>
          <w:szCs w:val="28"/>
        </w:rPr>
        <w:t>centre</w:t>
      </w:r>
      <w:r w:rsidRPr="006670A9">
        <w:rPr>
          <w:color w:val="0D0D0D" w:themeColor="text1" w:themeTint="F2"/>
          <w:sz w:val="28"/>
          <w:szCs w:val="28"/>
        </w:rPr>
        <w:t>" rather than a revenue generator.</w:t>
      </w:r>
    </w:p>
    <w:p w14:paraId="049E1BE9" w14:textId="77777777" w:rsidR="006670A9" w:rsidRPr="006670A9" w:rsidRDefault="006670A9" w:rsidP="006670A9">
      <w:pPr>
        <w:rPr>
          <w:b/>
          <w:bCs/>
          <w:color w:val="45B0E1" w:themeColor="accent1" w:themeTint="99"/>
          <w:sz w:val="32"/>
          <w:szCs w:val="32"/>
        </w:rPr>
      </w:pPr>
      <w:r w:rsidRPr="006670A9">
        <w:rPr>
          <w:b/>
          <w:bCs/>
          <w:color w:val="45B0E1" w:themeColor="accent1" w:themeTint="99"/>
          <w:sz w:val="32"/>
          <w:szCs w:val="32"/>
        </w:rPr>
        <w:t>3. ROI Risk (Return on Investment)</w:t>
      </w:r>
    </w:p>
    <w:p w14:paraId="40A17B35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 xml:space="preserve">Description: </w:t>
      </w:r>
      <w:r w:rsidRPr="006670A9">
        <w:rPr>
          <w:color w:val="0D0D0D" w:themeColor="text1" w:themeTint="F2"/>
          <w:sz w:val="28"/>
          <w:szCs w:val="28"/>
        </w:rPr>
        <w:t>The initial CAPEX (Capital Expenditure) for developing the AI infrastructure, UI overhaul, and specialized team setup is extremely high.</w:t>
      </w:r>
    </w:p>
    <w:p w14:paraId="0E0077A0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 xml:space="preserve">Impact: </w:t>
      </w:r>
      <w:r w:rsidRPr="006670A9">
        <w:rPr>
          <w:color w:val="0D0D0D" w:themeColor="text1" w:themeTint="F2"/>
          <w:sz w:val="28"/>
          <w:szCs w:val="28"/>
        </w:rPr>
        <w:t>If early ad revenue and subscription conversions are slow, the project could enter a "cash burn" scenario where costs exceed revenue for too long, risking project cancellation.</w:t>
      </w:r>
    </w:p>
    <w:p w14:paraId="741BE11D" w14:textId="77777777" w:rsidR="006670A9" w:rsidRPr="006670A9" w:rsidRDefault="006670A9" w:rsidP="006670A9">
      <w:pPr>
        <w:rPr>
          <w:b/>
          <w:bCs/>
          <w:color w:val="45B0E1" w:themeColor="accent1" w:themeTint="99"/>
          <w:sz w:val="32"/>
          <w:szCs w:val="32"/>
        </w:rPr>
      </w:pPr>
      <w:r w:rsidRPr="006670A9">
        <w:rPr>
          <w:b/>
          <w:bCs/>
          <w:color w:val="45B0E1" w:themeColor="accent1" w:themeTint="99"/>
          <w:sz w:val="32"/>
          <w:szCs w:val="32"/>
        </w:rPr>
        <w:t>4. Adoption Risk</w:t>
      </w:r>
    </w:p>
    <w:p w14:paraId="6C97FD4F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Description</w:t>
      </w:r>
      <w:r w:rsidRPr="006670A9">
        <w:rPr>
          <w:color w:val="0D0D0D" w:themeColor="text1" w:themeTint="F2"/>
          <w:sz w:val="28"/>
          <w:szCs w:val="28"/>
        </w:rPr>
        <w:t>: The "Study Workspace" represents a significant departure from the standard, linear YouTube experience. Users may find the split-screen, note-taking interface too complex or "alien."</w:t>
      </w:r>
    </w:p>
    <w:p w14:paraId="1DDDAF92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 xml:space="preserve">Impact: </w:t>
      </w:r>
      <w:r w:rsidRPr="006670A9">
        <w:rPr>
          <w:color w:val="0D0D0D" w:themeColor="text1" w:themeTint="F2"/>
          <w:sz w:val="28"/>
          <w:szCs w:val="28"/>
        </w:rPr>
        <w:t>High churn rate immediately after onboarding. Users revert to the standard interface because it is familiar and "good enough," rendering the new development wasted.</w:t>
      </w:r>
    </w:p>
    <w:p w14:paraId="3148D50D" w14:textId="77777777" w:rsidR="006670A9" w:rsidRPr="006670A9" w:rsidRDefault="006670A9" w:rsidP="006670A9">
      <w:pPr>
        <w:rPr>
          <w:b/>
          <w:bCs/>
          <w:color w:val="45B0E1" w:themeColor="accent1" w:themeTint="99"/>
          <w:sz w:val="32"/>
          <w:szCs w:val="32"/>
        </w:rPr>
      </w:pPr>
      <w:r w:rsidRPr="006670A9">
        <w:rPr>
          <w:b/>
          <w:bCs/>
          <w:color w:val="45B0E1" w:themeColor="accent1" w:themeTint="99"/>
          <w:sz w:val="32"/>
          <w:szCs w:val="32"/>
        </w:rPr>
        <w:t>5. Unit Economic Risk</w:t>
      </w:r>
    </w:p>
    <w:p w14:paraId="52221FA0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lastRenderedPageBreak/>
        <w:t xml:space="preserve">Description: </w:t>
      </w:r>
      <w:r w:rsidRPr="006670A9">
        <w:rPr>
          <w:color w:val="0D0D0D" w:themeColor="text1" w:themeTint="F2"/>
          <w:sz w:val="28"/>
          <w:szCs w:val="28"/>
        </w:rPr>
        <w:t>Offering "Unlimited" Gemini 3 access to paid users carries a variable cost. A small percentage of "Heavy Power Users" could generate thousands of API calls (summaries, quizzes, chat), costing more in server fees than their monthly subscription price.</w:t>
      </w:r>
    </w:p>
    <w:p w14:paraId="0224170B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Impact</w:t>
      </w:r>
      <w:r w:rsidRPr="006670A9">
        <w:rPr>
          <w:color w:val="0D0D0D" w:themeColor="text1" w:themeTint="F2"/>
          <w:sz w:val="28"/>
          <w:szCs w:val="28"/>
        </w:rPr>
        <w:t>: Gross margin erosion. The more popular the paid tier becomes with power users, the more money the company loses.</w:t>
      </w:r>
    </w:p>
    <w:p w14:paraId="717BBF03" w14:textId="77777777" w:rsidR="006670A9" w:rsidRPr="006670A9" w:rsidRDefault="006670A9" w:rsidP="006670A9">
      <w:pPr>
        <w:rPr>
          <w:b/>
          <w:bCs/>
          <w:color w:val="45B0E1" w:themeColor="accent1" w:themeTint="99"/>
          <w:sz w:val="32"/>
          <w:szCs w:val="32"/>
        </w:rPr>
      </w:pPr>
      <w:r w:rsidRPr="006670A9">
        <w:rPr>
          <w:b/>
          <w:bCs/>
          <w:color w:val="45B0E1" w:themeColor="accent1" w:themeTint="99"/>
          <w:sz w:val="32"/>
          <w:szCs w:val="32"/>
        </w:rPr>
        <w:t>6. Feature Bloat Risk</w:t>
      </w:r>
    </w:p>
    <w:p w14:paraId="335BDB04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 xml:space="preserve">Description: </w:t>
      </w:r>
      <w:r w:rsidRPr="006670A9">
        <w:rPr>
          <w:color w:val="0D0D0D" w:themeColor="text1" w:themeTint="F2"/>
          <w:sz w:val="28"/>
          <w:szCs w:val="28"/>
        </w:rPr>
        <w:t>In an effort to make the tool powerful, the team might over-engineer features (e.g., complex Mind Maps, collaborative whiteboards) that look good in a demo but are rarely used in practice.</w:t>
      </w:r>
    </w:p>
    <w:p w14:paraId="65EDE4EB" w14:textId="77777777" w:rsidR="006670A9" w:rsidRPr="006670A9" w:rsidRDefault="006670A9" w:rsidP="006670A9">
      <w:pPr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Impact</w:t>
      </w:r>
      <w:r w:rsidRPr="006670A9">
        <w:rPr>
          <w:color w:val="0D0D0D" w:themeColor="text1" w:themeTint="F2"/>
          <w:sz w:val="28"/>
          <w:szCs w:val="28"/>
        </w:rPr>
        <w:t>: Wasted engineering hours and a cluttered UI that confuses users, slowing down the app performance.</w:t>
      </w:r>
    </w:p>
    <w:p w14:paraId="0339283D" w14:textId="57D98A4F" w:rsidR="006670A9" w:rsidRDefault="006670A9" w:rsidP="006670A9">
      <w:pPr>
        <w:jc w:val="center"/>
        <w:rPr>
          <w:b/>
          <w:bCs/>
          <w:color w:val="0F4761" w:themeColor="accent1" w:themeShade="BF"/>
          <w:sz w:val="40"/>
          <w:szCs w:val="40"/>
        </w:rPr>
      </w:pPr>
      <w:r w:rsidRPr="006670A9">
        <w:rPr>
          <w:b/>
          <w:bCs/>
          <w:color w:val="0F4761" w:themeColor="accent1" w:themeShade="BF"/>
          <w:sz w:val="40"/>
          <w:szCs w:val="40"/>
        </w:rPr>
        <w:t>Constraints</w:t>
      </w:r>
    </w:p>
    <w:p w14:paraId="09FF7A29" w14:textId="0F89CB71" w:rsidR="006670A9" w:rsidRPr="006670A9" w:rsidRDefault="006670A9" w:rsidP="006670A9">
      <w:pPr>
        <w:rPr>
          <w:b/>
          <w:bCs/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Based on the risks identified above, here are the operational constraints we must adhere to:</w:t>
      </w:r>
    </w:p>
    <w:p w14:paraId="5B2467A0" w14:textId="38368C32" w:rsidR="006670A9" w:rsidRPr="006670A9" w:rsidRDefault="006670A9" w:rsidP="006670A9">
      <w:pPr>
        <w:pStyle w:val="ListParagraph"/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>API Token Budget (Cost Constraint):</w:t>
      </w:r>
      <w:r w:rsidRPr="006670A9">
        <w:rPr>
          <w:b/>
          <w:bCs/>
          <w:color w:val="0F4761" w:themeColor="accent1" w:themeShade="BF"/>
          <w:sz w:val="40"/>
          <w:szCs w:val="40"/>
        </w:rPr>
        <w:t xml:space="preserve"> </w:t>
      </w:r>
      <w:r w:rsidRPr="006670A9">
        <w:rPr>
          <w:color w:val="0D0D0D" w:themeColor="text1" w:themeTint="F2"/>
          <w:sz w:val="28"/>
          <w:szCs w:val="28"/>
        </w:rPr>
        <w:t>The average cost per user per month for AI queries must not exceed $1.50 to ensure healthy profit margins on the subscription price.</w:t>
      </w:r>
    </w:p>
    <w:p w14:paraId="37030139" w14:textId="6C47790C" w:rsidR="006670A9" w:rsidRPr="006670A9" w:rsidRDefault="006670A9" w:rsidP="006670A9">
      <w:pPr>
        <w:pStyle w:val="ListParagraph"/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 xml:space="preserve">Latency Constraint: </w:t>
      </w:r>
      <w:r w:rsidRPr="006670A9">
        <w:rPr>
          <w:color w:val="0D0D0D" w:themeColor="text1" w:themeTint="F2"/>
          <w:sz w:val="28"/>
          <w:szCs w:val="28"/>
        </w:rPr>
        <w:t>To prevent users from reverting to the standard UI (Adoption Risk), all AI summaries and quiz generations must load in under 3 seconds.</w:t>
      </w:r>
    </w:p>
    <w:p w14:paraId="0952BABB" w14:textId="156F4237" w:rsidR="006670A9" w:rsidRPr="006670A9" w:rsidRDefault="006670A9" w:rsidP="006670A9">
      <w:pPr>
        <w:pStyle w:val="ListParagraph"/>
        <w:numPr>
          <w:ilvl w:val="0"/>
          <w:numId w:val="7"/>
        </w:numPr>
        <w:rPr>
          <w:color w:val="0D0D0D" w:themeColor="text1" w:themeTint="F2"/>
          <w:sz w:val="28"/>
          <w:szCs w:val="28"/>
        </w:rPr>
      </w:pPr>
      <w:r w:rsidRPr="006670A9">
        <w:rPr>
          <w:b/>
          <w:bCs/>
          <w:color w:val="0D0D0D" w:themeColor="text1" w:themeTint="F2"/>
          <w:sz w:val="28"/>
          <w:szCs w:val="28"/>
        </w:rPr>
        <w:t xml:space="preserve">Platform Policy (Business Constraint): </w:t>
      </w:r>
      <w:r w:rsidRPr="006670A9">
        <w:rPr>
          <w:color w:val="0D0D0D" w:themeColor="text1" w:themeTint="F2"/>
          <w:sz w:val="28"/>
          <w:szCs w:val="28"/>
        </w:rPr>
        <w:t>The "Distraction-Free" mode cannot completely hide the "Recommended" sidebar if the user is on the Free Tier, as this violates YouTube’s core ad-inventory requirements.</w:t>
      </w:r>
    </w:p>
    <w:p w14:paraId="018ED786" w14:textId="77777777" w:rsidR="006670A9" w:rsidRPr="006670A9" w:rsidRDefault="006670A9" w:rsidP="006670A9">
      <w:pPr>
        <w:rPr>
          <w:b/>
          <w:bCs/>
          <w:color w:val="0F4761" w:themeColor="accent1" w:themeShade="BF"/>
          <w:sz w:val="40"/>
          <w:szCs w:val="40"/>
        </w:rPr>
      </w:pPr>
    </w:p>
    <w:sectPr w:rsidR="006670A9" w:rsidRPr="0066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5CD"/>
    <w:multiLevelType w:val="hybridMultilevel"/>
    <w:tmpl w:val="54940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E14A7"/>
    <w:multiLevelType w:val="multilevel"/>
    <w:tmpl w:val="E60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26D45"/>
    <w:multiLevelType w:val="multilevel"/>
    <w:tmpl w:val="8426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977AB"/>
    <w:multiLevelType w:val="multilevel"/>
    <w:tmpl w:val="7CB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C4E31"/>
    <w:multiLevelType w:val="multilevel"/>
    <w:tmpl w:val="CBA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71873"/>
    <w:multiLevelType w:val="multilevel"/>
    <w:tmpl w:val="667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9758F"/>
    <w:multiLevelType w:val="multilevel"/>
    <w:tmpl w:val="94C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22317">
    <w:abstractNumId w:val="4"/>
  </w:num>
  <w:num w:numId="2" w16cid:durableId="1843007644">
    <w:abstractNumId w:val="6"/>
  </w:num>
  <w:num w:numId="3" w16cid:durableId="1294097501">
    <w:abstractNumId w:val="5"/>
  </w:num>
  <w:num w:numId="4" w16cid:durableId="135877134">
    <w:abstractNumId w:val="1"/>
  </w:num>
  <w:num w:numId="5" w16cid:durableId="698360214">
    <w:abstractNumId w:val="2"/>
  </w:num>
  <w:num w:numId="6" w16cid:durableId="1306082786">
    <w:abstractNumId w:val="3"/>
  </w:num>
  <w:num w:numId="7" w16cid:durableId="198627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A9"/>
    <w:rsid w:val="005E1969"/>
    <w:rsid w:val="006670A9"/>
    <w:rsid w:val="0091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FC01"/>
  <w15:chartTrackingRefBased/>
  <w15:docId w15:val="{27322C7D-3B39-4A79-B6E3-80985C63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1</cp:revision>
  <dcterms:created xsi:type="dcterms:W3CDTF">2025-12-10T08:25:00Z</dcterms:created>
  <dcterms:modified xsi:type="dcterms:W3CDTF">2025-12-10T08:35:00Z</dcterms:modified>
</cp:coreProperties>
</file>