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14ACC">
      <w:pPr>
        <w:pStyle w:val="15"/>
        <w:spacing w:after="100"/>
      </w:pPr>
      <w:r>
        <w:t>Responsive Landing Page Development</w:t>
      </w:r>
    </w:p>
    <w:p w14:paraId="2E3E7BDF">
      <w:pPr>
        <w:spacing w:after="50"/>
      </w:pPr>
      <w:r>
        <w:rPr>
          <w:i/>
          <w:iCs/>
        </w:rPr>
        <w:t>Submitted by: Parveen</w:t>
      </w:r>
    </w:p>
    <w:p w14:paraId="7110C5B2">
      <w:pPr>
        <w:spacing w:after="300"/>
      </w:pPr>
      <w:r>
        <w:rPr>
          <w:i/>
          <w:iCs/>
        </w:rPr>
        <w:t>Track: Full-Stack Web Development</w:t>
      </w:r>
    </w:p>
    <w:p w14:paraId="619B4BC5">
      <w:pPr>
        <w:pStyle w:val="2"/>
        <w:spacing w:before="300" w:after="150"/>
      </w:pPr>
      <w:r>
        <w:t>1. Objective</w:t>
      </w:r>
    </w:p>
    <w:p w14:paraId="0852669A">
      <w:pPr>
        <w:spacing w:after="150"/>
      </w:pPr>
      <w:r>
        <w:t>The task was to design and build a fully responsive landing page — header with navigation, hero section, feature highlights, and footer — using semantic HTML5, modern CSS (Flexbox and Grid), and vanilla JavaScript for interactivity, without relying on a design template or framework.</w:t>
      </w:r>
    </w:p>
    <w:p w14:paraId="25C0BB44">
      <w:pPr>
        <w:pStyle w:val="2"/>
        <w:spacing w:before="300" w:after="150"/>
      </w:pPr>
      <w:r>
        <w:t>2. Concept and Design Plan</w:t>
      </w:r>
    </w:p>
    <w:p w14:paraId="7BB90896">
      <w:pPr>
        <w:spacing w:after="150"/>
      </w:pPr>
      <w:r>
        <w:t>Rather than building a generic template, I grounded the design in a concrete product idea: “Pathlight,” a lightweight tracker that final-year CS students could use to log DSA practice, project work, and mock interviews while preparing for placements. Having a real subject made the layout and copy decisions concrete instead of arbitrary.</w:t>
      </w:r>
    </w:p>
    <w:p w14:paraId="21BB74B4">
      <w:pPr>
        <w:pStyle w:val="3"/>
        <w:spacing w:before="200" w:after="100"/>
      </w:pPr>
      <w:r>
        <w:t>Visual language</w:t>
      </w:r>
    </w:p>
    <w:p w14:paraId="32E816AE">
      <w:pPr>
        <w:pStyle w:val="16"/>
        <w:numPr>
          <w:ilvl w:val="0"/>
          <w:numId w:val="1"/>
        </w:numPr>
        <w:spacing w:after="80"/>
      </w:pPr>
      <w:r>
        <w:t>Palette: deep navy background (#0F1420), a raised panel tone (#161C2C) for cards and the code-window, a cyan accent (#5EEAD4) for primary actions, and amber (#F5A623) reserved only for “in progress”/streak highlights.</w:t>
      </w:r>
    </w:p>
    <w:p w14:paraId="026F66FB">
      <w:pPr>
        <w:pStyle w:val="16"/>
        <w:numPr>
          <w:ilvl w:val="0"/>
          <w:numId w:val="1"/>
        </w:numPr>
        <w:spacing w:after="80"/>
      </w:pPr>
      <w:r>
        <w:t>Type: JetBrains Mono for headings, logo, and labels to evoke a code-editor feel; Inter for body copy for readability.</w:t>
      </w:r>
    </w:p>
    <w:p w14:paraId="25663730">
      <w:pPr>
        <w:pStyle w:val="16"/>
        <w:numPr>
          <w:ilvl w:val="0"/>
          <w:numId w:val="1"/>
        </w:numPr>
        <w:spacing w:after="80"/>
      </w:pPr>
      <w:r>
        <w:t>Layout: an asymmetric hero (copy left, a decorative “code window” panel right) rather than a centered default; a bordered, terminal-style feature grid instead of the common rounded-card-with-shadow pattern; a two-column “how it works / tracks” split.</w:t>
      </w:r>
    </w:p>
    <w:p w14:paraId="002DBF9A">
      <w:pPr>
        <w:pStyle w:val="16"/>
        <w:numPr>
          <w:ilvl w:val="0"/>
          <w:numId w:val="1"/>
        </w:numPr>
        <w:spacing w:after="80"/>
      </w:pPr>
      <w:r>
        <w:t>Motion kept to one purpose: the mobile nav toggle morphs into an X and the panel slides down — no scroll-triggered fade-ins scattered across sections.</w:t>
      </w:r>
    </w:p>
    <w:p w14:paraId="0EBDA098">
      <w:pPr>
        <w:pStyle w:val="2"/>
        <w:spacing w:before="300" w:after="150"/>
      </w:pPr>
      <w:r>
        <w:t>3. Implementation</w:t>
      </w:r>
    </w:p>
    <w:p w14:paraId="311B63B6">
      <w:pPr>
        <w:pStyle w:val="3"/>
        <w:spacing w:before="200" w:after="100"/>
      </w:pPr>
      <w:r>
        <w:t>HTML structure</w:t>
      </w:r>
    </w:p>
    <w:p w14:paraId="056DC0BC">
      <w:pPr>
        <w:spacing w:after="150"/>
      </w:pPr>
      <w:r>
        <w:t>The markup uses semantic elements throughout — &lt;header&gt;, &lt;nav&gt;, &lt;main&gt;, &lt;section&gt; for hero/features/how-it-works/CTA, and &lt;footer&gt; — plus a visually-hidden label on the email input and aria attributes (aria-expanded, aria-controls, aria-label) on the nav toggle for accessibility.</w:t>
      </w:r>
    </w:p>
    <w:p w14:paraId="5E7B8996">
      <w:pPr>
        <w:pStyle w:val="3"/>
        <w:spacing w:before="200" w:after="100"/>
      </w:pPr>
      <w:r>
        <w:t>CSS approach</w:t>
      </w:r>
    </w:p>
    <w:p w14:paraId="0DF16C3A">
      <w:pPr>
        <w:spacing w:after="150"/>
      </w:pPr>
      <w:r>
        <w:t>Styling is organized around a small set of CSS custom properties (colors, spacing scale, fonts) defined once in :root, so the whole page can be re-themed from one place. CSS Grid handles the hero split, the three-column feature grid, the how-it-works/tracks split, and the footer columns; Flexbox handles the nav bar, button groups, and the signup form. Two media queries (900px and 640px) progressively collapse the grid layouts and reveal the mobile navigation panel. Keyboard focus states and prefers-reduced-motion are both respected.</w:t>
      </w:r>
    </w:p>
    <w:p w14:paraId="3E4CD2A4">
      <w:pPr>
        <w:pStyle w:val="3"/>
        <w:spacing w:before="200" w:after="100"/>
      </w:pPr>
      <w:r>
        <w:t>JavaScript interactivity</w:t>
      </w:r>
    </w:p>
    <w:p w14:paraId="136C55AA">
      <w:pPr>
        <w:spacing w:after="150"/>
      </w:pPr>
      <w:r>
        <w:t>script.js is intentionally small: it toggles the mobile navigation panel and keeps its aria-expanded state in sync, closes the menu automatically when a link is clicked or the window is resized back to desktop width, and handles the signup form by preventing the default submission and showing a local confirmation message (there is no backend, since this is a static front-end exercise).</w:t>
      </w:r>
    </w:p>
    <w:p w14:paraId="0A3A13B5">
      <w:pPr>
        <w:pStyle w:val="2"/>
        <w:spacing w:before="300" w:after="150"/>
      </w:pPr>
      <w:r>
        <w:t>4. Responsiveness Summary</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96"/>
        <w:gridCol w:w="6784"/>
      </w:tblGrid>
      <w:tr w14:paraId="6661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2A44"/>
          </w:tcPr>
          <w:p w14:paraId="47A804F3">
            <w:r>
              <w:rPr>
                <w:b/>
                <w:bCs/>
                <w:color w:val="FFFFFF"/>
              </w:rPr>
              <w:t>Item</w:t>
            </w:r>
          </w:p>
        </w:tc>
        <w:tc>
          <w:tcPr>
            <w:tcW w:w="6800" w:type="dxa"/>
            <w:shd w:val="clear" w:color="auto" w:fill="1F2A44"/>
          </w:tcPr>
          <w:p w14:paraId="3CD17BB4">
            <w:r>
              <w:rPr>
                <w:b/>
                <w:bCs/>
                <w:color w:val="FFFFFF"/>
              </w:rPr>
              <w:t>Detail</w:t>
            </w:r>
          </w:p>
        </w:tc>
      </w:tr>
      <w:tr w14:paraId="31E6C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9232072">
            <w:r>
              <w:rPr>
                <w:b w:val="0"/>
                <w:bCs w:val="0"/>
                <w:color w:val="000000"/>
              </w:rPr>
              <w:t>Project name</w:t>
            </w:r>
          </w:p>
        </w:tc>
        <w:tc>
          <w:tcPr>
            <w:tcW w:w="6800" w:type="dxa"/>
          </w:tcPr>
          <w:p w14:paraId="1FA60F16">
            <w:r>
              <w:rPr>
                <w:b w:val="0"/>
                <w:bCs w:val="0"/>
                <w:color w:val="000000"/>
              </w:rPr>
              <w:t>Pathlight — a placement-prep tracking landing page</w:t>
            </w:r>
          </w:p>
        </w:tc>
      </w:tr>
      <w:tr w14:paraId="4B45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1E5D109">
            <w:r>
              <w:rPr>
                <w:b w:val="0"/>
                <w:bCs w:val="0"/>
                <w:color w:val="000000"/>
              </w:rPr>
              <w:t>Files delivered</w:t>
            </w:r>
          </w:p>
        </w:tc>
        <w:tc>
          <w:tcPr>
            <w:tcW w:w="6800" w:type="dxa"/>
          </w:tcPr>
          <w:p w14:paraId="24A8B3EA">
            <w:r>
              <w:rPr>
                <w:b w:val="0"/>
                <w:bCs w:val="0"/>
                <w:color w:val="000000"/>
              </w:rPr>
              <w:t xml:space="preserve">index.html, styles.css, script.js </w:t>
            </w:r>
            <w:bookmarkStart w:id="0" w:name="_GoBack"/>
            <w:bookmarkEnd w:id="0"/>
          </w:p>
        </w:tc>
      </w:tr>
      <w:tr w14:paraId="46C0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B60B8A6">
            <w:r>
              <w:rPr>
                <w:b w:val="0"/>
                <w:bCs w:val="0"/>
                <w:color w:val="000000"/>
              </w:rPr>
              <w:t>Core sections</w:t>
            </w:r>
          </w:p>
        </w:tc>
        <w:tc>
          <w:tcPr>
            <w:tcW w:w="6800" w:type="dxa"/>
          </w:tcPr>
          <w:p w14:paraId="41ECC5FF">
            <w:r>
              <w:rPr>
                <w:b w:val="0"/>
                <w:bCs w:val="0"/>
                <w:color w:val="000000"/>
              </w:rPr>
              <w:t>Sticky header/nav, hero, feature highlights, how-it-works + tracks, signup CTA, footer</w:t>
            </w:r>
          </w:p>
        </w:tc>
      </w:tr>
      <w:tr w14:paraId="1DC31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6DE17B8">
            <w:r>
              <w:rPr>
                <w:b w:val="0"/>
                <w:bCs w:val="0"/>
                <w:color w:val="000000"/>
              </w:rPr>
              <w:t>Layout techniques</w:t>
            </w:r>
          </w:p>
        </w:tc>
        <w:tc>
          <w:tcPr>
            <w:tcW w:w="6800" w:type="dxa"/>
          </w:tcPr>
          <w:p w14:paraId="66DC9A1D">
            <w:r>
              <w:rPr>
                <w:b w:val="0"/>
                <w:bCs w:val="0"/>
                <w:color w:val="000000"/>
              </w:rPr>
              <w:t>CSS Grid for the hero, feature grid, how-it-works split, and footer; Flexbox for the nav, buttons, and forms</w:t>
            </w:r>
          </w:p>
        </w:tc>
      </w:tr>
      <w:tr w14:paraId="50BFC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646E62B">
            <w:r>
              <w:rPr>
                <w:b w:val="0"/>
                <w:bCs w:val="0"/>
                <w:color w:val="000000"/>
              </w:rPr>
              <w:t>Interactivity</w:t>
            </w:r>
          </w:p>
        </w:tc>
        <w:tc>
          <w:tcPr>
            <w:tcW w:w="6800" w:type="dxa"/>
          </w:tcPr>
          <w:p w14:paraId="17432A83">
            <w:r>
              <w:rPr>
                <w:b w:val="0"/>
                <w:bCs w:val="0"/>
                <w:color w:val="000000"/>
              </w:rPr>
              <w:t>Vanilla JS mobile menu toggle (with aria-expanded state), auto-close on link click and on resize, and a local signup form confirmation</w:t>
            </w:r>
          </w:p>
        </w:tc>
      </w:tr>
      <w:tr w14:paraId="3045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18E38D7">
            <w:r>
              <w:rPr>
                <w:b w:val="0"/>
                <w:bCs w:val="0"/>
                <w:color w:val="000000"/>
              </w:rPr>
              <w:t>Breakpoints</w:t>
            </w:r>
          </w:p>
        </w:tc>
        <w:tc>
          <w:tcPr>
            <w:tcW w:w="6800" w:type="dxa"/>
          </w:tcPr>
          <w:p w14:paraId="777CF5B6">
            <w:r>
              <w:rPr>
                <w:b w:val="0"/>
                <w:bCs w:val="0"/>
                <w:color w:val="000000"/>
              </w:rPr>
              <w:t>900px (tablet: hero/how-it-works stack, feature grid to 2 columns), 640px (mobile: nav collapses behind toggle, grids to 1 column)</w:t>
            </w:r>
          </w:p>
        </w:tc>
      </w:tr>
    </w:tbl>
    <w:p w14:paraId="5FE0D90E">
      <w:pPr>
        <w:spacing w:before="200"/>
      </w:pPr>
    </w:p>
    <w:p w14:paraId="00C8A66E">
      <w:pPr>
        <w:pStyle w:val="2"/>
        <w:spacing w:before="300" w:after="150"/>
      </w:pPr>
      <w:r>
        <w:t>5. Testing</w:t>
      </w:r>
    </w:p>
    <w:p w14:paraId="175BE946">
      <w:pPr>
        <w:spacing w:after="150"/>
      </w:pPr>
      <w:r>
        <w:t>The page was tested by resizing the browser viewport continuously from desktop width down to small mobile widths (roughly 375px) to confirm the grid layouts reflow, the navigation collapses and expands correctly, text stays legible at every width, and no horizontal scrollbars appear. Interactive elements (nav toggle, signup form, in-page anchor links) were manually clicked through at each breakpoint.</w:t>
      </w:r>
    </w:p>
    <w:p w14:paraId="77952DA2">
      <w:pPr>
        <w:pStyle w:val="2"/>
        <w:spacing w:before="300" w:after="150"/>
      </w:pPr>
      <w:r>
        <w:t>6. Challenges and Learnings</w:t>
      </w:r>
    </w:p>
    <w:p w14:paraId="4E9F21A4">
      <w:pPr>
        <w:pStyle w:val="16"/>
        <w:numPr>
          <w:ilvl w:val="0"/>
          <w:numId w:val="1"/>
        </w:numPr>
        <w:spacing w:after="80"/>
      </w:pPr>
      <w:r>
        <w:t>Balancing the code-editor visual theme against readability meant keeping the amber/cyan accents restrained rather than using them everywhere, so they still draw attention where intended.</w:t>
      </w:r>
    </w:p>
    <w:p w14:paraId="703C6ECC">
      <w:pPr>
        <w:pStyle w:val="16"/>
        <w:numPr>
          <w:ilvl w:val="0"/>
          <w:numId w:val="1"/>
        </w:numPr>
        <w:spacing w:after="80"/>
      </w:pPr>
      <w:r>
        <w:t>Getting the mobile nav panel to animate smoothly without JavaScript-driven height calculations required using opacity/transform transitions combined with pointer-events, rather than toggling display directly.</w:t>
      </w:r>
    </w:p>
    <w:p w14:paraId="11C0D749">
      <w:pPr>
        <w:pStyle w:val="16"/>
        <w:numPr>
          <w:ilvl w:val="0"/>
          <w:numId w:val="1"/>
        </w:numPr>
        <w:spacing w:after="80"/>
      </w:pPr>
      <w:r>
        <w:t>Avoiding generic “AI landing page” patterns (centered hero, rounded SaaS cards, numbered-step badges) pushed me to make more deliberate layout and typography choices instead of defaulting to the first idea.</w:t>
      </w:r>
    </w:p>
    <w:p w14:paraId="781B2168">
      <w:pPr>
        <w:pStyle w:val="2"/>
        <w:spacing w:before="300" w:after="150"/>
      </w:pPr>
      <w:r>
        <w:t>7. Conclusion</w:t>
      </w:r>
    </w:p>
    <w:p w14:paraId="170AD24A">
      <w:pPr>
        <w:spacing w:after="150"/>
      </w:pPr>
      <w:r>
        <w:t>The final deliverable is a single self-contained landing page (index.html, styles.css, script.js) that is responsive from desktop down to mobile, uses semantic HTML and modern CSS layout techniques, and includes working JavaScript-driven interactivity for the navigation and signup form. The exercise reinforced core responsive-design practices — mobile-first breakpoints, Flexbox/Grid layout, and accessible interactive components — that apply directly to the full-stack development track.</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2F656E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423</Words>
  <Characters>2411</Characters>
  <TotalTime>16</TotalTime>
  <ScaleCrop>false</ScaleCrop>
  <LinksUpToDate>false</LinksUpToDate>
  <CharactersWithSpaces>2813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2026-09-04T06:15:00Z</dcterms:created>
  <dc:creator>Un-named</dc:creator>
  <cp:lastModifiedBy>Parveen Gupta</cp:lastModifiedBy>
  <dcterms:modified xsi:type="dcterms:W3CDTF">2026-09-05T07:46:22Z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eyJoZGlkIjoiNDQ5NzZjYzdjMDQ2ZjVjMTQ4MDRhZGEyYTM4OWEwYTIiLCJ1c2VySWQiOiI1NjczODU0NTc3NjUifQ==</vt:lpwstr>
  </property>
  <property fmtid="{D5CDD505-2E9C-101B-9397-08002B2CF9AE}" pid="3" name="KSOProductBuildVer">
    <vt:lpwstr>1033-12.1.0.28032</vt:lpwstr>
  </property>
  <property fmtid="{D5CDD505-2E9C-101B-9397-08002B2CF9AE}" pid="4" name="ICV">
    <vt:lpwstr>C711645D51C840DCB1402EB64D98CE03_12</vt:lpwstr>
  </property>
</Properties>
</file>