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Wealth, Equity, Borrowing &amp; Billionaire-Style Liquidity — Discussion Notes</w:t>
      </w:r>
    </w:p>
    <w:p>
      <w:pPr>
        <w:jc w:val="center"/>
      </w:pPr>
      <w:r>
        <w:t>Working notes from the conversation; intended as a continuation point, not financial/tax advice.</w:t>
      </w:r>
    </w:p>
    <w:p>
      <w:pPr>
        <w:pStyle w:val="Heading1"/>
      </w:pPr>
      <w:r>
        <w:t>1. Core idea: where very large wealth comes from</w:t>
      </w:r>
    </w:p>
    <w:p>
      <w:pPr>
        <w:pStyle w:val="ListBullet"/>
      </w:pPr>
      <w:r>
        <w:t>Very large fortunes are generally built primarily through ownership of appreciating assets—especially businesses/equity—rather than bank interest alone.</w:t>
      </w:r>
    </w:p>
    <w:p>
      <w:pPr>
        <w:pStyle w:val="ListBullet"/>
      </w:pPr>
      <w:r>
        <w:t>Bank interest is primarily a preservation/liquidity tool. Business ownership can produce much larger upside because the underlying asset can compound in value.</w:t>
      </w:r>
    </w:p>
    <w:p>
      <w:pPr>
        <w:pStyle w:val="ListBullet"/>
      </w:pPr>
      <w:r>
        <w:t>Illustration: a 30% stake in a ₹10 crore company is worth ₹3 crore; if the company reaches ₹100 crore, that stake is ₹30 crore; at ₹1,000 crore, it is ₹300 crore.</w:t>
      </w:r>
    </w:p>
    <w:p>
      <w:pPr>
        <w:pStyle w:val="Heading1"/>
      </w:pPr>
      <w:r>
        <w:t>2. Interest vs equity</w:t>
      </w:r>
    </w:p>
    <w:p>
      <w:pPr>
        <w:pStyle w:val="ListBullet"/>
      </w:pPr>
      <w:r>
        <w:t>₹10,000 crore earning 7% interest produces ₹700 crore/year before applicable taxes.</w:t>
      </w:r>
    </w:p>
    <w:p>
      <w:pPr>
        <w:pStyle w:val="ListBullet"/>
      </w:pPr>
      <w:r>
        <w:t>₹10,000 crore appreciating 15% produces a ₹1,500 crore increase in paper value, although this is not guaranteed and may reverse.</w:t>
      </w:r>
    </w:p>
    <w:p>
      <w:pPr>
        <w:pStyle w:val="ListBullet"/>
      </w:pPr>
      <w:r>
        <w:t>The key distinction is ownership appreciation versus fixed/contractual interest.</w:t>
      </w:r>
    </w:p>
    <w:p>
      <w:pPr>
        <w:pStyle w:val="Heading1"/>
      </w:pPr>
      <w:r>
        <w:t>3. Expenses, taxes and liquidity</w:t>
      </w:r>
    </w:p>
    <w:p>
      <w:pPr>
        <w:pStyle w:val="ListBullet"/>
      </w:pPr>
      <w:r>
        <w:t>Net worth, cash flow, spending, and taxable income are different concepts.</w:t>
      </w:r>
    </w:p>
    <w:p>
      <w:pPr>
        <w:pStyle w:val="ListBullet"/>
      </w:pPr>
      <w:r>
        <w:t>Equity appreciation does not automatically put cash in a bank account.</w:t>
      </w:r>
    </w:p>
    <w:p>
      <w:pPr>
        <w:pStyle w:val="ListBullet"/>
      </w:pPr>
      <w:r>
        <w:t>Potential sources of spending cash: legitimate business/investment cash flow, selling a portion of assets, or borrowing against eligible assets.</w:t>
      </w:r>
    </w:p>
    <w:p>
      <w:pPr>
        <w:pStyle w:val="ListBullet"/>
      </w:pPr>
      <w:r>
        <w:t>Borrowed money is generally a liability rather than income, but interest is a real cost and tax/legal treatment depends on the facts.</w:t>
      </w:r>
    </w:p>
    <w:p>
      <w:pPr>
        <w:pStyle w:val="ListBullet"/>
      </w:pPr>
      <w:r>
        <w:t>Capital-gains tax generally concerns the taxable gain when an investment is sold; exact Indian tax treatment depends on the asset, holding period, acquisition details, transaction rules, and applicable tax year.</w:t>
      </w:r>
    </w:p>
    <w:p>
      <w:pPr>
        <w:pStyle w:val="Heading1"/>
      </w:pPr>
      <w:r>
        <w:t>4. Asset-backed borrowing / LTV</w:t>
      </w:r>
    </w:p>
    <w:p>
      <w:pPr>
        <w:pStyle w:val="ListBullet"/>
      </w:pPr>
      <w:r>
        <w:t>LTV = loan amount ÷ current collateral value.</w:t>
      </w:r>
    </w:p>
    <w:p>
      <w:pPr>
        <w:pStyle w:val="ListBullet"/>
      </w:pPr>
      <w:r>
        <w:t>₹100 crore shares pledged; ₹20 crore loan → initial LTV = 20%.</w:t>
      </w:r>
    </w:p>
    <w:p>
      <w:pPr>
        <w:pStyle w:val="ListBullet"/>
      </w:pPr>
      <w:r>
        <w:t>The borrower generally continues to own the shares, subject to the lender's security/pledge rights.</w:t>
      </w:r>
    </w:p>
    <w:p>
      <w:pPr>
        <w:pStyle w:val="ListBullet"/>
      </w:pPr>
      <w:r>
        <w:t>If shares rise to ₹150 crore while the loan remains ₹20 crore, LTV becomes 13.3%.</w:t>
      </w:r>
    </w:p>
    <w:p>
      <w:pPr>
        <w:pStyle w:val="ListBullet"/>
      </w:pPr>
      <w:r>
        <w:t>If shares fall to ₹80 crore, LTV becomes 25%.</w:t>
      </w:r>
    </w:p>
    <w:p>
      <w:pPr>
        <w:pStyle w:val="ListBullet"/>
      </w:pPr>
      <w:r>
        <w:t>If shares fall enough to breach contractual collateral requirements, the lender may require additional collateral or repayment and, subject to the agreement and law, may ultimately sell pledged assets if obligations are not met.</w:t>
      </w:r>
    </w:p>
    <w:p>
      <w:pPr>
        <w:pStyle w:val="ListBullet"/>
      </w:pPr>
      <w:r>
        <w:t>LTV is not the same as 'the bank owns that percentage of the company.'</w:t>
      </w:r>
    </w:p>
    <w:p>
      <w:pPr>
        <w:pStyle w:val="Heading1"/>
      </w:pPr>
      <w:r>
        <w:t>5. Worked ₹100 crore example</w:t>
      </w:r>
    </w:p>
    <w:p>
      <w:pPr>
        <w:pStyle w:val="ListBullet"/>
      </w:pPr>
      <w:r>
        <w:t>Start: ₹100 crore shares; borrow ₹20 crore; spend the ₹20 crore; assume 8% annual interest.</w:t>
      </w:r>
    </w:p>
    <w:p>
      <w:pPr>
        <w:pStyle w:val="ListBullet"/>
      </w:pPr>
      <w:r>
        <w:t>If shares rise to ₹120 crore after one year: debt including one year's simple interest = ₹21.6 crore; net value after debt = ₹98.4 crore.</w:t>
      </w:r>
    </w:p>
    <w:p>
      <w:pPr>
        <w:pStyle w:val="ListBullet"/>
      </w:pPr>
      <w:r>
        <w:t>If shares fall to ₹80 crore: debt = ₹21.6 crore; net value after debt = ₹58.4 crore.</w:t>
      </w:r>
    </w:p>
    <w:p>
      <w:pPr>
        <w:pStyle w:val="ListBullet"/>
      </w:pPr>
      <w:r>
        <w:t>The loan does not automatically shrink when the share price falls. The debt remains due plus applicable interest.</w:t>
      </w:r>
    </w:p>
    <w:p>
      <w:pPr>
        <w:pStyle w:val="Heading1"/>
      </w:pPr>
      <w:r>
        <w:t>6. Where does repayment money come from?</w:t>
      </w:r>
    </w:p>
    <w:p>
      <w:pPr>
        <w:pStyle w:val="ListBullet"/>
      </w:pPr>
      <w:r>
        <w:t>Possible sources are selling some shares, using personal/business cash flow, or refinancing/renewing the debt where the lender permits it.</w:t>
      </w:r>
    </w:p>
    <w:p>
      <w:pPr>
        <w:pStyle w:val="ListBullet"/>
      </w:pPr>
      <w:r>
        <w:t>Example: if shares are worth ₹120 crore and the debt is ₹21.6 crore, the borrower could sell approximately that amount of shares to settle the debt, subject to tax and transaction effects.</w:t>
      </w:r>
    </w:p>
    <w:p>
      <w:pPr>
        <w:pStyle w:val="ListBullet"/>
      </w:pPr>
      <w:r>
        <w:t>Refinancing can defer principal repayment, but it does not make the debt disappear.</w:t>
      </w:r>
    </w:p>
    <w:p>
      <w:pPr>
        <w:pStyle w:val="ListBullet"/>
      </w:pPr>
      <w:r>
        <w:t>The strategy is not 'borrow, spend, and never repay.' It is 'own assets, borrow conservatively for liquidity, service the debt, and eventually repay/refinance.'</w:t>
      </w:r>
    </w:p>
    <w:p>
      <w:pPr>
        <w:pStyle w:val="Heading1"/>
      </w:pPr>
      <w:r>
        <w:t>7. Taxes when selling shares to repay debt</w:t>
      </w:r>
    </w:p>
    <w:p>
      <w:pPr>
        <w:pStyle w:val="ListBullet"/>
      </w:pPr>
      <w:r>
        <w:t>Yes, selling shares can create a taxable capital gain.</w:t>
      </w:r>
    </w:p>
    <w:p>
      <w:pPr>
        <w:pStyle w:val="ListBullet"/>
      </w:pPr>
      <w:r>
        <w:t>Illustration: shares originally costing ₹10 crore are sold for ₹21.6 crore → gross capital gain is ₹11.6 crore before applicable adjustments/rules.</w:t>
      </w:r>
    </w:p>
    <w:p>
      <w:pPr>
        <w:pStyle w:val="ListBullet"/>
      </w:pPr>
      <w:r>
        <w:t>Tax is generally based on the taxable gain, not automatically the entire ₹21.6 crore proceeds.</w:t>
      </w:r>
    </w:p>
    <w:p>
      <w:pPr>
        <w:pStyle w:val="ListBullet"/>
      </w:pPr>
      <w:r>
        <w:t>Indian listed-equity capital-gains rates and rules depend on factors including holding period, STT conditions, transaction date, surcharge/cess, exemptions, and the applicable tax year.</w:t>
      </w:r>
    </w:p>
    <w:p>
      <w:pPr>
        <w:pStyle w:val="Heading1"/>
      </w:pPr>
      <w:r>
        <w:t>8. Why use borrowing at all?</w:t>
      </w:r>
    </w:p>
    <w:p>
      <w:pPr>
        <w:pStyle w:val="ListBullet"/>
      </w:pPr>
      <w:r>
        <w:t>Borrowing can provide liquidity without immediately disposing of an appreciating asset.</w:t>
      </w:r>
    </w:p>
    <w:p>
      <w:pPr>
        <w:pStyle w:val="ListBullet"/>
      </w:pPr>
      <w:r>
        <w:t>The economic trade-off is roughly asset return minus borrowing cost, but actual returns are uncertain and can be negative.</w:t>
      </w:r>
    </w:p>
    <w:p>
      <w:pPr>
        <w:pStyle w:val="ListBullet"/>
      </w:pPr>
      <w:r>
        <w:t>Illustration: expected asset return 15% and loan cost 8% gives a 7 percentage-point spread if the asset actually returns 15%; a -30% asset return produces a -38 percentage-point spread before other costs/taxes.</w:t>
      </w:r>
    </w:p>
    <w:p>
      <w:pPr>
        <w:pStyle w:val="ListBullet"/>
      </w:pPr>
      <w:r>
        <w:t>Borrowing is therefore a liquidity tool, not a guaranteed superior investment strategy.</w:t>
      </w:r>
    </w:p>
    <w:p>
      <w:pPr>
        <w:pStyle w:val="Heading1"/>
      </w:pPr>
      <w:r>
        <w:t>9. Diversification</w:t>
      </w:r>
    </w:p>
    <w:p>
      <w:pPr>
        <w:pStyle w:val="ListBullet"/>
      </w:pPr>
      <w:r>
        <w:t>Concentrating ₹100 crore in one company means a 40% decline turns it into ₹60 crore.</w:t>
      </w:r>
    </w:p>
    <w:p>
      <w:pPr>
        <w:pStyle w:val="ListBullet"/>
      </w:pPr>
      <w:r>
        <w:t>Splitting across multiple companies can reduce company-specific risk because winners can offset losers.</w:t>
      </w:r>
    </w:p>
    <w:p>
      <w:pPr>
        <w:pStyle w:val="ListBullet"/>
      </w:pPr>
      <w:r>
        <w:t>Diversification cannot eliminate market-wide declines; a diversified equity portfolio can still fall substantially.</w:t>
      </w:r>
    </w:p>
    <w:p>
      <w:pPr>
        <w:pStyle w:val="ListBullet"/>
      </w:pPr>
      <w:r>
        <w:t>A resilient structure can combine liquid/safe assets, diversified equities, and a smaller allocation to concentrated/high-risk opportunities.</w:t>
      </w:r>
    </w:p>
    <w:p>
      <w:pPr>
        <w:pStyle w:val="Heading1"/>
      </w:pPr>
      <w:r>
        <w:t>10. Hypothetical ₹10,000 crore portfolio discussed</w:t>
      </w:r>
    </w:p>
    <w:p>
      <w:pPr>
        <w:pStyle w:val="ListBullet"/>
      </w:pPr>
      <w:r>
        <w:t>HDFC Bank — 8% — ₹800 cr</w:t>
      </w:r>
    </w:p>
    <w:p>
      <w:pPr>
        <w:pStyle w:val="ListBullet"/>
      </w:pPr>
      <w:r>
        <w:t>ICICI Bank — 7% — ₹700 cr</w:t>
      </w:r>
    </w:p>
    <w:p>
      <w:pPr>
        <w:pStyle w:val="ListBullet"/>
      </w:pPr>
      <w:r>
        <w:t>Reliance Industries — 8% — ₹800 cr</w:t>
      </w:r>
    </w:p>
    <w:p>
      <w:pPr>
        <w:pStyle w:val="ListBullet"/>
      </w:pPr>
      <w:r>
        <w:t>Bharti Airtel — 7% — ₹700 cr</w:t>
      </w:r>
    </w:p>
    <w:p>
      <w:pPr>
        <w:pStyle w:val="ListBullet"/>
      </w:pPr>
      <w:r>
        <w:t>TCS — 5% — ₹500 cr</w:t>
      </w:r>
    </w:p>
    <w:p>
      <w:pPr>
        <w:pStyle w:val="ListBullet"/>
      </w:pPr>
      <w:r>
        <w:t>Infosys — 4% — ₹400 cr</w:t>
      </w:r>
    </w:p>
    <w:p>
      <w:pPr>
        <w:pStyle w:val="ListBullet"/>
      </w:pPr>
      <w:r>
        <w:t>Larsen &amp; Toubro — 5% — ₹500 cr</w:t>
      </w:r>
    </w:p>
    <w:p>
      <w:pPr>
        <w:pStyle w:val="ListBullet"/>
      </w:pPr>
      <w:r>
        <w:t>Bajaj Finance — 4% — ₹400 cr</w:t>
      </w:r>
    </w:p>
    <w:p>
      <w:pPr>
        <w:pStyle w:val="ListBullet"/>
      </w:pPr>
      <w:r>
        <w:t>Sun Pharma — 4% — ₹400 cr</w:t>
      </w:r>
    </w:p>
    <w:p>
      <w:pPr>
        <w:pStyle w:val="ListBullet"/>
      </w:pPr>
      <w:r>
        <w:t>Titan — 3% — ₹300 cr</w:t>
      </w:r>
    </w:p>
    <w:p>
      <w:pPr>
        <w:pStyle w:val="ListBullet"/>
      </w:pPr>
      <w:r>
        <w:t>Mahindra &amp; Mahindra — 3% — ₹300 cr</w:t>
      </w:r>
    </w:p>
    <w:p>
      <w:pPr>
        <w:pStyle w:val="ListBullet"/>
      </w:pPr>
      <w:r>
        <w:t>ITC — 3% — ₹300 cr</w:t>
      </w:r>
    </w:p>
    <w:p>
      <w:pPr>
        <w:pStyle w:val="ListBullet"/>
      </w:pPr>
      <w:r>
        <w:t>SBI — 3% — ₹300 cr</w:t>
      </w:r>
    </w:p>
    <w:p>
      <w:pPr>
        <w:pStyle w:val="ListBullet"/>
      </w:pPr>
      <w:r>
        <w:t>Power Grid — 2% — ₹200 cr</w:t>
      </w:r>
    </w:p>
    <w:p>
      <w:pPr>
        <w:pStyle w:val="ListBullet"/>
      </w:pPr>
      <w:r>
        <w:t>NTPC — 2% — ₹200 cr</w:t>
      </w:r>
    </w:p>
    <w:p>
      <w:pPr>
        <w:pStyle w:val="ListBullet"/>
      </w:pPr>
      <w:r>
        <w:t>Diversified index funds/ETFs — 17% — ₹1,700 cr</w:t>
      </w:r>
    </w:p>
    <w:p>
      <w:pPr>
        <w:pStyle w:val="ListBullet"/>
      </w:pPr>
      <w:r>
        <w:t>Government bonds / T-bills / cash equivalents — 15% — ₹1,500 cr</w:t>
      </w:r>
    </w:p>
    <w:p>
      <w:pPr>
        <w:pStyle w:val="ListBullet"/>
      </w:pPr>
      <w:r>
        <w:t>Total — 100% — ₹10,000 cr</w:t>
      </w:r>
    </w:p>
    <w:p>
      <w:pPr>
        <w:pStyle w:val="ListBullet"/>
      </w:pPr>
      <w:r>
        <w:t>This was a hypothetical diversification illustration, not a recommendation or guarantee of returns.</w:t>
      </w:r>
    </w:p>
    <w:p>
      <w:pPr>
        <w:pStyle w:val="Heading1"/>
      </w:pPr>
      <w:r>
        <w:t>11. ₹10,000 crore + conservative borrowing illustration</w:t>
      </w:r>
    </w:p>
    <w:p>
      <w:pPr>
        <w:pStyle w:val="ListBullet"/>
      </w:pPr>
      <w:r>
        <w:t>If a ₹10,000 crore portfolio has a ₹100 crore loan, initial LTV is only 1%.</w:t>
      </w:r>
    </w:p>
    <w:p>
      <w:pPr>
        <w:pStyle w:val="ListBullet"/>
      </w:pPr>
      <w:r>
        <w:t>A 30% fall in the equity portion does not have the same financing impact as a highly leveraged portfolio, especially if substantial liquid assets are maintained.</w:t>
      </w:r>
    </w:p>
    <w:p>
      <w:pPr>
        <w:pStyle w:val="ListBullet"/>
      </w:pPr>
      <w:r>
        <w:t>At a hypothetical 10% long-run portfolio return: ₹10,000 crore × 10% = ₹1,000 crore/year before taxes/costs.</w:t>
      </w:r>
    </w:p>
    <w:p>
      <w:pPr>
        <w:pStyle w:val="ListBullet"/>
      </w:pPr>
      <w:r>
        <w:t>At 12%: ₹1,200 crore/year. At 15%: ₹1,500 crore/year.</w:t>
      </w:r>
    </w:p>
    <w:p>
      <w:pPr>
        <w:pStyle w:val="ListBullet"/>
      </w:pPr>
      <w:r>
        <w:t>These are mathematical illustrations, not guaranteed annual returns; actual returns vary year to year.</w:t>
      </w:r>
    </w:p>
    <w:p>
      <w:pPr>
        <w:pStyle w:val="Heading1"/>
      </w:pPr>
      <w:r>
        <w:t>12. Next step</w:t>
      </w:r>
    </w:p>
    <w:p>
      <w:pPr>
        <w:pStyle w:val="ListBullet"/>
      </w:pPr>
      <w:r>
        <w:t>Build a full numerical simulation for ₹10,000 crore over 20 years, including annual spending, taxes, interest, portfolio growth, market crashes, LTV limits, refinancing, and eventual debt repayment.</w:t>
      </w:r>
    </w:p>
    <w:p>
      <w:pPr>
        <w:pStyle w:val="Heading1"/>
      </w:pPr>
      <w:r>
        <w:t>Important distinction</w:t>
      </w:r>
    </w:p>
    <w:p>
      <w:r>
        <w:t>These notes are educational illustrations. Real Indian tax rates, loan LTVs, collateral rules, interest rates, pledge mechanics, and investment suitability depend on the specific asset, lender, transaction structure, and tax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