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6"/>
          <w:szCs w:val="36"/>
        </w:rPr>
        <w:t xml:space="preserve">Deadlock Prevention in the Ambulance Dispatch System</w:t>
      </w:r>
    </w:p>
    <w:p>
      <w:pPr>
        <w:spacing w:after="240"/>
        <w:jc w:val="center"/>
      </w:pPr>
      <w:r>
        <w:rPr>
          <w:rFonts w:ascii="Times New Roman" w:cs="Times New Roman" w:eastAsia="Times New Roman" w:hAnsi="Times New Roman"/>
          <w:i/>
          <w:iCs/>
          <w:sz w:val="24"/>
          <w:szCs w:val="24"/>
        </w:rPr>
        <w:t xml:space="preserve">Coffman conditions, resource allocation graph and lock ordering</w:t>
      </w:r>
    </w:p>
    <w:p>
      <w:pPr>
        <w:pStyle w:val="Heading1"/>
        <w:spacing w:after="120" w:before="280"/>
      </w:pPr>
      <w:r>
        <w:rPr>
          <w:rFonts w:ascii="Times New Roman" w:cs="Times New Roman" w:eastAsia="Times New Roman" w:hAnsi="Times New Roman"/>
          <w:b/>
          <w:bCs/>
          <w:sz w:val="30"/>
          <w:szCs w:val="30"/>
        </w:rPr>
        <w:t xml:space="preserve">1. Overview</w:t>
      </w:r>
    </w:p>
    <w:p>
      <w:pPr>
        <w:spacing w:after="120"/>
      </w:pPr>
      <w:r>
        <w:rPr>
          <w:rFonts w:ascii="Times New Roman" w:cs="Times New Roman" w:eastAsia="Times New Roman" w:hAnsi="Times New Roman"/>
          <w:sz w:val="24"/>
          <w:szCs w:val="24"/>
        </w:rPr>
        <w:t xml:space="preserve">The dispatch system runs four worker threads that handle emergencies at the same time. To assign an ambulance, a worker locks up to five candidate ambulance rows in the database using SELECT ... FOR UPDATE. If two workers lock the same rows in different orders, each can end up waiting for the other forever, which is a deadlock.</w:t>
      </w:r>
    </w:p>
    <w:p>
      <w:pPr>
        <w:spacing w:after="120"/>
      </w:pPr>
      <w:r>
        <w:rPr>
          <w:rFonts w:ascii="Times New Roman" w:cs="Times New Roman" w:eastAsia="Times New Roman" w:hAnsi="Times New Roman"/>
          <w:sz w:val="24"/>
          <w:szCs w:val="24"/>
        </w:rPr>
        <w:t xml:space="preserve">We prevent this by making every worker lock rows in the same order: ascending primary key. The sections below explain why this works.</w:t>
      </w:r>
    </w:p>
    <w:p>
      <w:pPr>
        <w:pStyle w:val="Heading1"/>
        <w:spacing w:after="120" w:before="280"/>
      </w:pPr>
      <w:r>
        <w:rPr>
          <w:rFonts w:ascii="Times New Roman" w:cs="Times New Roman" w:eastAsia="Times New Roman" w:hAnsi="Times New Roman"/>
          <w:b/>
          <w:bCs/>
          <w:sz w:val="30"/>
          <w:szCs w:val="30"/>
        </w:rPr>
        <w:t xml:space="preserve">2. Coffman Conditions</w:t>
      </w:r>
    </w:p>
    <w:p>
      <w:pPr>
        <w:spacing w:after="120"/>
      </w:pPr>
      <w:r>
        <w:rPr>
          <w:rFonts w:ascii="Times New Roman" w:cs="Times New Roman" w:eastAsia="Times New Roman" w:hAnsi="Times New Roman"/>
          <w:sz w:val="24"/>
          <w:szCs w:val="24"/>
        </w:rPr>
        <w:t xml:space="preserve">A deadlock needs all four Coffman conditions to be true at the same time. Breaking any one of them prevents deadlock.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26"/>
      </w:tblGrid>
      <w:tr>
        <w:trPr>
          <w:cantSplit/>
          <w:tblHeader/>
        </w:trPr>
        <w:tc>
          <w:tcPr>
            <w:tcW w:type="dxa" w:w="1900"/>
            <w:tcBorders>
              <w:top w:val="single" w:color="000000" w:sz="4"/>
              <w:left w:val="single" w:color="000000" w:sz="4"/>
              <w:bottom w:val="single" w:color="000000" w:sz="4"/>
              <w:right w:val="single" w:color="000000" w:sz="4"/>
            </w:tcBorders>
            <w:shd w:fill="EDEDED" w:color="auto" w:val="clear"/>
            <w:tcMar>
              <w:top w:type="dxa" w:w="70"/>
              <w:left w:type="dxa" w:w="110"/>
              <w:bottom w:type="dxa" w:w="70"/>
              <w:right w:type="dxa" w:w="110"/>
            </w:tcMar>
          </w:tcPr>
          <w:p>
            <w:pPr>
              <w:keepNext/>
            </w:pPr>
            <w:r>
              <w:rPr>
                <w:rFonts w:ascii="Times New Roman" w:cs="Times New Roman" w:eastAsia="Times New Roman" w:hAnsi="Times New Roman"/>
                <w:b/>
                <w:bCs/>
                <w:sz w:val="22"/>
                <w:szCs w:val="22"/>
              </w:rPr>
              <w:t xml:space="preserve">Condition</w:t>
            </w:r>
          </w:p>
        </w:tc>
        <w:tc>
          <w:tcPr>
            <w:tcW w:type="dxa" w:w="3000"/>
            <w:tcBorders>
              <w:top w:val="single" w:color="000000" w:sz="4"/>
              <w:left w:val="single" w:color="000000" w:sz="4"/>
              <w:bottom w:val="single" w:color="000000" w:sz="4"/>
              <w:right w:val="single" w:color="000000" w:sz="4"/>
            </w:tcBorders>
            <w:shd w:fill="EDEDED" w:color="auto" w:val="clear"/>
            <w:tcMar>
              <w:top w:type="dxa" w:w="70"/>
              <w:left w:type="dxa" w:w="110"/>
              <w:bottom w:type="dxa" w:w="70"/>
              <w:right w:type="dxa" w:w="110"/>
            </w:tcMar>
          </w:tcPr>
          <w:p>
            <w:pPr>
              <w:keepNext/>
            </w:pPr>
            <w:r>
              <w:rPr>
                <w:rFonts w:ascii="Times New Roman" w:cs="Times New Roman" w:eastAsia="Times New Roman" w:hAnsi="Times New Roman"/>
                <w:b/>
                <w:bCs/>
                <w:sz w:val="22"/>
                <w:szCs w:val="22"/>
              </w:rPr>
              <w:t xml:space="preserve">Meaning</w:t>
            </w:r>
          </w:p>
        </w:tc>
        <w:tc>
          <w:tcPr>
            <w:tcW w:type="dxa" w:w="4126"/>
            <w:tcBorders>
              <w:top w:val="single" w:color="000000" w:sz="4"/>
              <w:left w:val="single" w:color="000000" w:sz="4"/>
              <w:bottom w:val="single" w:color="000000" w:sz="4"/>
              <w:right w:val="single" w:color="000000" w:sz="4"/>
            </w:tcBorders>
            <w:shd w:fill="EDEDED" w:color="auto" w:val="clear"/>
            <w:tcMar>
              <w:top w:type="dxa" w:w="70"/>
              <w:left w:type="dxa" w:w="110"/>
              <w:bottom w:type="dxa" w:w="70"/>
              <w:right w:type="dxa" w:w="110"/>
            </w:tcMar>
          </w:tcPr>
          <w:p>
            <w:pPr>
              <w:keepNext/>
            </w:pPr>
            <w:r>
              <w:rPr>
                <w:rFonts w:ascii="Times New Roman" w:cs="Times New Roman" w:eastAsia="Times New Roman" w:hAnsi="Times New Roman"/>
                <w:b/>
                <w:bCs/>
                <w:sz w:val="22"/>
                <w:szCs w:val="22"/>
              </w:rPr>
              <w:t xml:space="preserve">In our project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Mutual exclusion</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A resource can be used by only one transaction at a time.</w:t>
            </w:r>
          </w:p>
        </w:tc>
        <w:tc>
          <w:tcPr>
            <w:tcW w:type="dxa" w:w="4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A row locked with FOR UPDATE cannot be locked by another worker.</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Hold and wait</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A transaction keeps its locks while waiting for more.</w:t>
            </w:r>
          </w:p>
        </w:tc>
        <w:tc>
          <w:tcPr>
            <w:tcW w:type="dxa" w:w="4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A worker holds row 3 while waiting for row 7.</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No preemption</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A lock cannot be taken away from its owner.</w:t>
            </w:r>
          </w:p>
        </w:tc>
        <w:tc>
          <w:tcPr>
            <w:tcW w:type="dxa" w:w="4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MySQL (InnoDB) releases a lock only at COMMIT or ROLLBACK.</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keepNext w:val="false"/>
            </w:pPr>
            <w:r>
              <w:rPr>
                <w:rFonts w:ascii="Times New Roman" w:cs="Times New Roman" w:eastAsia="Times New Roman" w:hAnsi="Times New Roman"/>
                <w:b w:val="false"/>
                <w:bCs w:val="false"/>
                <w:sz w:val="22"/>
                <w:szCs w:val="22"/>
              </w:rPr>
              <w:t xml:space="preserve">Circular wait</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keepNext w:val="false"/>
            </w:pPr>
            <w:r>
              <w:rPr>
                <w:rFonts w:ascii="Times New Roman" w:cs="Times New Roman" w:eastAsia="Times New Roman" w:hAnsi="Times New Roman"/>
                <w:b w:val="false"/>
                <w:bCs w:val="false"/>
                <w:sz w:val="22"/>
                <w:szCs w:val="22"/>
              </w:rPr>
              <w:t xml:space="preserve">A cycle of transactions, each waiting for the next.</w:t>
            </w:r>
          </w:p>
        </w:tc>
        <w:tc>
          <w:tcPr>
            <w:tcW w:type="dxa" w:w="4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keepNext w:val="false"/>
            </w:pPr>
            <w:r>
              <w:rPr>
                <w:rFonts w:ascii="Times New Roman" w:cs="Times New Roman" w:eastAsia="Times New Roman" w:hAnsi="Times New Roman"/>
                <w:b w:val="false"/>
                <w:bCs w:val="false"/>
                <w:sz w:val="22"/>
                <w:szCs w:val="22"/>
              </w:rPr>
              <w:t xml:space="preserve">Prevented by locking rows in ascending id order.</w:t>
            </w:r>
          </w:p>
        </w:tc>
      </w:tr>
    </w:tbl>
    <w:p>
      <w:pPr>
        <w:spacing w:after="160"/>
      </w:pPr>
    </w:p>
    <w:p>
      <w:pPr>
        <w:spacing w:after="120"/>
      </w:pPr>
      <w:r>
        <w:rPr>
          <w:rFonts w:ascii="Times New Roman" w:cs="Times New Roman" w:eastAsia="Times New Roman" w:hAnsi="Times New Roman"/>
          <w:sz w:val="24"/>
          <w:szCs w:val="24"/>
        </w:rPr>
        <w:t xml:space="preserve">The first three conditions cannot be avoided, because rows must be locked exclusively to stop two emergencies from getting the same ambulance. So our project breaks the fourth condition, circular wait.</w:t>
      </w:r>
    </w:p>
    <w:p>
      <w:pPr>
        <w:pStyle w:val="Heading1"/>
        <w:spacing w:after="120" w:before="280"/>
      </w:pPr>
      <w:r>
        <w:rPr>
          <w:rFonts w:ascii="Times New Roman" w:cs="Times New Roman" w:eastAsia="Times New Roman" w:hAnsi="Times New Roman"/>
          <w:b/>
          <w:bCs/>
          <w:sz w:val="30"/>
          <w:szCs w:val="30"/>
        </w:rPr>
        <w:t xml:space="preserve">3. Resource Allocation Graph</w:t>
      </w:r>
    </w:p>
    <w:p>
      <w:pPr>
        <w:spacing w:after="120"/>
      </w:pPr>
      <w:r>
        <w:rPr>
          <w:rFonts w:ascii="Times New Roman" w:cs="Times New Roman" w:eastAsia="Times New Roman" w:hAnsi="Times New Roman"/>
          <w:sz w:val="24"/>
          <w:szCs w:val="24"/>
        </w:rPr>
        <w:t xml:space="preserve">In the graphs below, a circle is a transaction (worker) and a square is a row (resource). A solid arrow means the transaction holds the row lock. A dashed arrow means the transaction is waiting for that row.</w:t>
      </w:r>
    </w:p>
    <w:p>
      <w:pPr>
        <w:keepNext/>
        <w:spacing w:after="60" w:before="120"/>
        <w:jc w:val="center"/>
      </w:pPr>
      <w:r>
        <w:drawing>
          <wp:inline distT="0" distB="0" distL="0" distR="0">
            <wp:extent cx="3048000" cy="1857375"/>
            <wp:effectExtent t="0" r="0" b="0" l="0"/>
            <wp:docPr id="1" name="Resource allocation graph without lock ordering, showing a cycle" descr="Resource allocation graph without lock ordering, showing a cycle" title="Resource allocation graph without lock ordering, showing a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18573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 Without ordering. T1 holds row 3 and wants row 7; T2 holds row 7 and wants row 3. The arrows form a cycle, so this is a deadlock.</w:t>
      </w:r>
    </w:p>
    <w:p>
      <w:pPr>
        <w:keepNext/>
        <w:spacing w:after="60" w:before="120"/>
        <w:jc w:val="center"/>
      </w:pPr>
      <w:r>
        <w:drawing>
          <wp:inline distT="0" distB="0" distL="0" distR="0">
            <wp:extent cx="3048000" cy="1857375"/>
            <wp:effectExtent t="0" r="0" b="0" l="0"/>
            <wp:docPr id="1" name="Resource allocation graph with ascending lock order, no cycle" descr="Resource allocation graph with ascending lock order, no cycle" title="Resource allocation graph with ascending lock order, no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18573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2: With ascending primary-key order. Both transactions lock row 3 first, so T2 simply waits for T1. There is no cycle, so it is safe.</w:t>
      </w:r>
    </w:p>
    <w:p>
      <w:pPr>
        <w:pStyle w:val="Heading1"/>
        <w:spacing w:after="120" w:before="280"/>
      </w:pPr>
      <w:r>
        <w:rPr>
          <w:rFonts w:ascii="Times New Roman" w:cs="Times New Roman" w:eastAsia="Times New Roman" w:hAnsi="Times New Roman"/>
          <w:b/>
          <w:bCs/>
          <w:sz w:val="30"/>
          <w:szCs w:val="30"/>
        </w:rPr>
        <w:t xml:space="preserve">4. Lock Ordering</w:t>
      </w:r>
    </w:p>
    <w:p>
      <w:pPr>
        <w:spacing w:after="120"/>
      </w:pPr>
      <w:r>
        <w:rPr>
          <w:rFonts w:ascii="Times New Roman" w:cs="Times New Roman" w:eastAsia="Times New Roman" w:hAnsi="Times New Roman"/>
          <w:b/>
          <w:bCs/>
          <w:sz w:val="24"/>
          <w:szCs w:val="24"/>
        </w:rPr>
        <w:t xml:space="preserve">Theorem. </w:t>
      </w:r>
      <w:r>
        <w:rPr>
          <w:rFonts w:ascii="Times New Roman" w:cs="Times New Roman" w:eastAsia="Times New Roman" w:hAnsi="Times New Roman"/>
          <w:sz w:val="24"/>
          <w:szCs w:val="24"/>
        </w:rPr>
        <w:t xml:space="preserve">If every transaction acquires locks in the same total order, no deadlock cycle can form.</w:t>
      </w:r>
    </w:p>
    <w:p>
      <w:pPr>
        <w:spacing w:after="120"/>
      </w:pPr>
      <w:r>
        <w:rPr>
          <w:rFonts w:ascii="Times New Roman" w:cs="Times New Roman" w:eastAsia="Times New Roman" w:hAnsi="Times New Roman"/>
          <w:sz w:val="24"/>
          <w:szCs w:val="24"/>
        </w:rPr>
        <w:t xml:space="preserve">In the project (allocation.py), the candidate ambulances are sorted by id before they are locked:</w:t>
      </w:r>
    </w:p>
    <w:p>
      <w:pPr>
        <w:pBdr>
          <w:top w:val="single" w:color="000000" w:sz="4"/>
          <w:bottom w:val="single" w:color="000000" w:sz="4"/>
          <w:left w:val="single" w:color="000000" w:sz="4"/>
          <w:right w:val="single" w:color="000000" w:sz="4"/>
        </w:pBdr>
        <w:shd w:fill="F2F2F2" w:color="auto" w:val="clear"/>
        <w:spacing w:after="0"/>
        <w:ind w:left="240" w:right="240"/>
      </w:pPr>
      <w:r>
        <w:rPr>
          <w:rFonts w:ascii="Courier New" w:cs="Courier New" w:eastAsia="Courier New" w:hAnsi="Courier New"/>
          <w:sz w:val="20"/>
          <w:szCs w:val="20"/>
        </w:rPr>
        <w:t xml:space="preserve">mav_sorted = sorted(mav_candidates, key=lambda c: c[0])</w:t>
      </w:r>
    </w:p>
    <w:p>
      <w:pPr>
        <w:pBdr>
          <w:top w:val="single" w:color="000000" w:sz="4"/>
          <w:bottom w:val="single" w:color="000000" w:sz="4"/>
          <w:left w:val="single" w:color="000000" w:sz="4"/>
          <w:right w:val="single" w:color="000000" w:sz="4"/>
        </w:pBdr>
        <w:shd w:fill="F2F2F2" w:color="auto" w:val="clear"/>
        <w:spacing w:after="0"/>
        <w:ind w:left="240" w:right="240"/>
      </w:pPr>
      <w:r>
        <w:rPr>
          <w:rFonts w:ascii="Courier New" w:cs="Courier New" w:eastAsia="Courier New" w:hAnsi="Courier New"/>
          <w:sz w:val="20"/>
          <w:szCs w:val="20"/>
        </w:rPr>
        <w:t xml:space="preserve">ORDER BY id ASC</w:t>
      </w:r>
    </w:p>
    <w:p>
      <w:pPr>
        <w:pBdr>
          <w:top w:val="single" w:color="000000" w:sz="4"/>
          <w:bottom w:val="single" w:color="000000" w:sz="4"/>
          <w:left w:val="single" w:color="000000" w:sz="4"/>
          <w:right w:val="single" w:color="000000" w:sz="4"/>
        </w:pBdr>
        <w:shd w:fill="F2F2F2" w:color="auto" w:val="clear"/>
        <w:spacing w:after="0"/>
        <w:ind w:left="240" w:right="240"/>
      </w:pPr>
      <w:r>
        <w:rPr>
          <w:rFonts w:ascii="Courier New" w:cs="Courier New" w:eastAsia="Courier New" w:hAnsi="Courier New"/>
          <w:sz w:val="20"/>
          <w:szCs w:val="20"/>
        </w:rPr>
        <w:t xml:space="preserve">FOR UPDATE</w:t>
      </w:r>
    </w:p>
    <w:p>
      <w:pPr>
        <w:spacing w:after="160"/>
      </w:pPr>
    </w:p>
    <w:p>
      <w:pPr>
        <w:keepNext/>
        <w:spacing w:after="120"/>
      </w:pPr>
      <w:r>
        <w:rPr>
          <w:rFonts w:ascii="Times New Roman" w:cs="Times New Roman" w:eastAsia="Times New Roman" w:hAnsi="Times New Roman"/>
          <w:sz w:val="24"/>
          <w:szCs w:val="24"/>
        </w:rPr>
        <w:t xml:space="preserve">Worked example. The candidate rows are 3, 7 and 9. Both transactions follow ascending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013"/>
        <w:gridCol w:w="4013"/>
      </w:tblGrid>
      <w:tr>
        <w:trPr>
          <w:cantSplit/>
          <w:tblHeader/>
        </w:trPr>
        <w:tc>
          <w:tcPr>
            <w:tcW w:type="dxa" w:w="1000"/>
            <w:tcBorders>
              <w:top w:val="single" w:color="000000" w:sz="4"/>
              <w:left w:val="single" w:color="000000" w:sz="4"/>
              <w:bottom w:val="single" w:color="000000" w:sz="4"/>
              <w:right w:val="single" w:color="000000" w:sz="4"/>
            </w:tcBorders>
            <w:shd w:fill="EDEDED" w:color="auto" w:val="clear"/>
            <w:tcMar>
              <w:top w:type="dxa" w:w="70"/>
              <w:left w:type="dxa" w:w="110"/>
              <w:bottom w:type="dxa" w:w="70"/>
              <w:right w:type="dxa" w:w="110"/>
            </w:tcMar>
          </w:tcPr>
          <w:p>
            <w:pPr>
              <w:keepNext/>
            </w:pPr>
            <w:r>
              <w:rPr>
                <w:rFonts w:ascii="Times New Roman" w:cs="Times New Roman" w:eastAsia="Times New Roman" w:hAnsi="Times New Roman"/>
                <w:b/>
                <w:bCs/>
                <w:sz w:val="22"/>
                <w:szCs w:val="22"/>
              </w:rPr>
              <w:t xml:space="preserve">Step</w:t>
            </w:r>
          </w:p>
        </w:tc>
        <w:tc>
          <w:tcPr>
            <w:tcW w:type="dxa" w:w="4013"/>
            <w:tcBorders>
              <w:top w:val="single" w:color="000000" w:sz="4"/>
              <w:left w:val="single" w:color="000000" w:sz="4"/>
              <w:bottom w:val="single" w:color="000000" w:sz="4"/>
              <w:right w:val="single" w:color="000000" w:sz="4"/>
            </w:tcBorders>
            <w:shd w:fill="EDEDED" w:color="auto" w:val="clear"/>
            <w:tcMar>
              <w:top w:type="dxa" w:w="70"/>
              <w:left w:type="dxa" w:w="110"/>
              <w:bottom w:type="dxa" w:w="70"/>
              <w:right w:type="dxa" w:w="110"/>
            </w:tcMar>
          </w:tcPr>
          <w:p>
            <w:pPr>
              <w:keepNext/>
            </w:pPr>
            <w:r>
              <w:rPr>
                <w:rFonts w:ascii="Times New Roman" w:cs="Times New Roman" w:eastAsia="Times New Roman" w:hAnsi="Times New Roman"/>
                <w:b/>
                <w:bCs/>
                <w:sz w:val="22"/>
                <w:szCs w:val="22"/>
              </w:rPr>
              <w:t xml:space="preserve">T1 (first)</w:t>
            </w:r>
          </w:p>
        </w:tc>
        <w:tc>
          <w:tcPr>
            <w:tcW w:type="dxa" w:w="4013"/>
            <w:tcBorders>
              <w:top w:val="single" w:color="000000" w:sz="4"/>
              <w:left w:val="single" w:color="000000" w:sz="4"/>
              <w:bottom w:val="single" w:color="000000" w:sz="4"/>
              <w:right w:val="single" w:color="000000" w:sz="4"/>
            </w:tcBorders>
            <w:shd w:fill="EDEDED" w:color="auto" w:val="clear"/>
            <w:tcMar>
              <w:top w:type="dxa" w:w="70"/>
              <w:left w:type="dxa" w:w="110"/>
              <w:bottom w:type="dxa" w:w="70"/>
              <w:right w:type="dxa" w:w="110"/>
            </w:tcMar>
          </w:tcPr>
          <w:p>
            <w:pPr>
              <w:keepNext/>
            </w:pPr>
            <w:r>
              <w:rPr>
                <w:rFonts w:ascii="Times New Roman" w:cs="Times New Roman" w:eastAsia="Times New Roman" w:hAnsi="Times New Roman"/>
                <w:b/>
                <w:bCs/>
                <w:sz w:val="22"/>
                <w:szCs w:val="22"/>
              </w:rPr>
              <w:t xml:space="preserve">T2 (second)</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1</w:t>
            </w:r>
          </w:p>
        </w:tc>
        <w:tc>
          <w:tcPr>
            <w:tcW w:type="dxa" w:w="4013"/>
            <w:tcBorders>
              <w:top w:val="single" w:color="000000" w:sz="4"/>
              <w:left w:val="single" w:color="000000" w:sz="4"/>
              <w:bottom w:val="single" w:color="000000" w:sz="4"/>
              <w:right w:val="single" w:color="00000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Lock row 3</w:t>
            </w:r>
          </w:p>
        </w:tc>
        <w:tc>
          <w:tcPr>
            <w:tcW w:type="dxa" w:w="4013"/>
            <w:tcBorders>
              <w:top w:val="single" w:color="000000" w:sz="4"/>
              <w:left w:val="single" w:color="000000" w:sz="4"/>
              <w:bottom w:val="single" w:color="000000" w:sz="4"/>
              <w:right w:val="single" w:color="00000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Wait for row 3</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2</w:t>
            </w:r>
          </w:p>
        </w:tc>
        <w:tc>
          <w:tcPr>
            <w:tcW w:type="dxa" w:w="4013"/>
            <w:tcBorders>
              <w:top w:val="single" w:color="000000" w:sz="4"/>
              <w:left w:val="single" w:color="000000" w:sz="4"/>
              <w:bottom w:val="single" w:color="000000" w:sz="4"/>
              <w:right w:val="single" w:color="00000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Lock row 7</w:t>
            </w:r>
          </w:p>
        </w:tc>
        <w:tc>
          <w:tcPr>
            <w:tcW w:type="dxa" w:w="4013"/>
            <w:tcBorders>
              <w:top w:val="single" w:color="000000" w:sz="4"/>
              <w:left w:val="single" w:color="000000" w:sz="4"/>
              <w:bottom w:val="single" w:color="000000" w:sz="4"/>
              <w:right w:val="single" w:color="00000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Still waiting</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3</w:t>
            </w:r>
          </w:p>
        </w:tc>
        <w:tc>
          <w:tcPr>
            <w:tcW w:type="dxa" w:w="4013"/>
            <w:tcBorders>
              <w:top w:val="single" w:color="000000" w:sz="4"/>
              <w:left w:val="single" w:color="000000" w:sz="4"/>
              <w:bottom w:val="single" w:color="000000" w:sz="4"/>
              <w:right w:val="single" w:color="00000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Commit (releases locks)</w:t>
            </w:r>
          </w:p>
        </w:tc>
        <w:tc>
          <w:tcPr>
            <w:tcW w:type="dxa" w:w="4013"/>
            <w:tcBorders>
              <w:top w:val="single" w:color="000000" w:sz="4"/>
              <w:left w:val="single" w:color="000000" w:sz="4"/>
              <w:bottom w:val="single" w:color="000000" w:sz="4"/>
              <w:right w:val="single" w:color="00000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Lock row 3</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4</w:t>
            </w:r>
          </w:p>
        </w:tc>
        <w:tc>
          <w:tcPr>
            <w:tcW w:type="dxa" w:w="4013"/>
            <w:tcBorders>
              <w:top w:val="single" w:color="000000" w:sz="4"/>
              <w:left w:val="single" w:color="000000" w:sz="4"/>
              <w:bottom w:val="single" w:color="000000" w:sz="4"/>
              <w:right w:val="single" w:color="00000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w:t>
            </w:r>
          </w:p>
        </w:tc>
        <w:tc>
          <w:tcPr>
            <w:tcW w:type="dxa" w:w="4013"/>
            <w:tcBorders>
              <w:top w:val="single" w:color="000000" w:sz="4"/>
              <w:left w:val="single" w:color="000000" w:sz="4"/>
              <w:bottom w:val="single" w:color="000000" w:sz="4"/>
              <w:right w:val="single" w:color="00000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Row 7 is already assigned, skip</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5</w:t>
            </w:r>
          </w:p>
        </w:tc>
        <w:tc>
          <w:tcPr>
            <w:tcW w:type="dxa" w:w="4013"/>
            <w:tcBorders>
              <w:top w:val="single" w:color="000000" w:sz="4"/>
              <w:left w:val="single" w:color="000000" w:sz="4"/>
              <w:bottom w:val="single" w:color="000000" w:sz="4"/>
              <w:right w:val="single" w:color="00000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w:t>
            </w:r>
          </w:p>
        </w:tc>
        <w:tc>
          <w:tcPr>
            <w:tcW w:type="dxa" w:w="4013"/>
            <w:tcBorders>
              <w:top w:val="single" w:color="000000" w:sz="4"/>
              <w:left w:val="single" w:color="000000" w:sz="4"/>
              <w:bottom w:val="single" w:color="000000" w:sz="4"/>
              <w:right w:val="single" w:color="00000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Lock row 9 (available)</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keepNext w:val="false"/>
            </w:pPr>
            <w:r>
              <w:rPr>
                <w:rFonts w:ascii="Times New Roman" w:cs="Times New Roman" w:eastAsia="Times New Roman" w:hAnsi="Times New Roman"/>
                <w:b w:val="false"/>
                <w:bCs w:val="false"/>
                <w:sz w:val="22"/>
                <w:szCs w:val="22"/>
              </w:rPr>
              <w:t xml:space="preserve">6</w:t>
            </w:r>
          </w:p>
        </w:tc>
        <w:tc>
          <w:tcPr>
            <w:tcW w:type="dxa" w:w="4013"/>
            <w:tcBorders>
              <w:top w:val="single" w:color="000000" w:sz="4"/>
              <w:left w:val="single" w:color="000000" w:sz="4"/>
              <w:bottom w:val="single" w:color="000000" w:sz="4"/>
              <w:right w:val="single" w:color="000000" w:sz="4"/>
            </w:tcBorders>
            <w:tcMar>
              <w:top w:type="dxa" w:w="70"/>
              <w:left w:type="dxa" w:w="110"/>
              <w:bottom w:type="dxa" w:w="70"/>
              <w:right w:type="dxa" w:w="110"/>
            </w:tcMar>
          </w:tcPr>
          <w:p>
            <w:pPr>
              <w:keepNext w:val="false"/>
            </w:pPr>
            <w:r>
              <w:rPr>
                <w:rFonts w:ascii="Times New Roman" w:cs="Times New Roman" w:eastAsia="Times New Roman" w:hAnsi="Times New Roman"/>
                <w:b w:val="false"/>
                <w:bCs w:val="false"/>
                <w:sz w:val="22"/>
                <w:szCs w:val="22"/>
              </w:rPr>
              <w:t xml:space="preserve">-</w:t>
            </w:r>
          </w:p>
        </w:tc>
        <w:tc>
          <w:tcPr>
            <w:tcW w:type="dxa" w:w="4013"/>
            <w:tcBorders>
              <w:top w:val="single" w:color="000000" w:sz="4"/>
              <w:left w:val="single" w:color="000000" w:sz="4"/>
              <w:bottom w:val="single" w:color="000000" w:sz="4"/>
              <w:right w:val="single" w:color="000000" w:sz="4"/>
            </w:tcBorders>
            <w:tcMar>
              <w:top w:type="dxa" w:w="70"/>
              <w:left w:type="dxa" w:w="110"/>
              <w:bottom w:type="dxa" w:w="70"/>
              <w:right w:type="dxa" w:w="110"/>
            </w:tcMar>
          </w:tcPr>
          <w:p>
            <w:pPr>
              <w:keepNext w:val="false"/>
            </w:pPr>
            <w:r>
              <w:rPr>
                <w:rFonts w:ascii="Times New Roman" w:cs="Times New Roman" w:eastAsia="Times New Roman" w:hAnsi="Times New Roman"/>
                <w:b w:val="false"/>
                <w:bCs w:val="false"/>
                <w:sz w:val="22"/>
                <w:szCs w:val="22"/>
              </w:rPr>
              <w:t xml:space="preserve">Commit</w:t>
            </w:r>
          </w:p>
        </w:tc>
      </w:tr>
    </w:tbl>
    <w:p>
      <w:pPr>
        <w:spacing w:after="160"/>
      </w:pPr>
    </w:p>
    <w:p>
      <w:pPr>
        <w:spacing w:after="120"/>
      </w:pPr>
      <w:r>
        <w:rPr>
          <w:rFonts w:ascii="Times New Roman" w:cs="Times New Roman" w:eastAsia="Times New Roman" w:hAnsi="Times New Roman"/>
          <w:b/>
          <w:bCs/>
          <w:sz w:val="24"/>
          <w:szCs w:val="24"/>
        </w:rPr>
        <w:t xml:space="preserve">Rule. </w:t>
      </w:r>
      <w:r>
        <w:rPr>
          <w:rFonts w:ascii="Times New Roman" w:cs="Times New Roman" w:eastAsia="Times New Roman" w:hAnsi="Times New Roman"/>
          <w:sz w:val="24"/>
          <w:szCs w:val="24"/>
        </w:rPr>
        <w:t xml:space="preserve">Candidate rows must always be locked in ascending primary-key order. This total ordering is our deadlock prevention, so it must not be changed.</w:t>
      </w:r>
    </w:p>
    <w:p>
      <w:pPr>
        <w:spacing w:after="120"/>
      </w:pPr>
      <w:r>
        <w:rPr>
          <w:rFonts w:ascii="Times New Roman" w:cs="Times New Roman" w:eastAsia="Times New Roman" w:hAnsi="Times New Roman"/>
          <w:b/>
          <w:bCs/>
          <w:sz w:val="24"/>
          <w:szCs w:val="24"/>
        </w:rPr>
        <w:t xml:space="preserve">Trade-off. </w:t>
      </w:r>
      <w:r>
        <w:rPr>
          <w:rFonts w:ascii="Times New Roman" w:cs="Times New Roman" w:eastAsia="Times New Roman" w:hAnsi="Times New Roman"/>
          <w:sz w:val="24"/>
          <w:szCs w:val="24"/>
        </w:rPr>
        <w:t xml:space="preserve">Locking with FOR UPDATE causes occasional lock waits (median 97 ms), but all 12 vehicles can be used and no ambulance was double-booked in 40 simultaneous calls. SKIP LOCKED waits only 0.8 ms, but only 9 of 12 vehicles get used.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7245334a1af6a1e08dc058ff548ecfedad3a000.png"/><Relationship Id="rId8" Type="http://schemas.openxmlformats.org/officeDocument/2006/relationships/image" Target="media/f177ba7013269f37285fc25ce4f457358adba93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2026-10-09T00:22:15.681Z</dcterms:created>
  <dcterms:modified xsi:type="dcterms:W3CDTF">2026-10-09T00:22:15.681Z</dcterms:modified>
</cp:coreProperties>
</file>

<file path=docProps/custom.xml><?xml version="1.0" encoding="utf-8"?>
<Properties xmlns="http://schemas.openxmlformats.org/officeDocument/2006/custom-properties" xmlns:vt="http://schemas.openxmlformats.org/officeDocument/2006/docPropsVTypes"/>
</file>