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2E75B6"/>
          <w:spacing w:val="40"/>
          <w:sz w:val="22"/>
          <w:szCs w:val="22"/>
        </w:rPr>
        <w:t xml:space="preserve">TECHNICAL SPECIFICATION</w:t>
      </w:r>
    </w:p>
    <w:p>
      <w:pPr>
        <w:spacing w:after="80"/>
      </w:pPr>
      <w:r>
        <w:rPr>
          <w:b/>
          <w:bCs/>
          <w:color w:val="595959"/>
          <w:sz w:val="32"/>
          <w:szCs w:val="32"/>
        </w:rPr>
        <w:t xml:space="preserve">TS-01</w:t>
      </w:r>
    </w:p>
    <w:p>
      <w:pPr>
        <w:spacing w:after="240"/>
      </w:pPr>
      <w:r>
        <w:rPr>
          <w:b/>
          <w:bCs/>
          <w:color w:val="1F3A5F"/>
          <w:sz w:val="48"/>
          <w:szCs w:val="48"/>
        </w:rPr>
        <w:t xml:space="preserve">System Context, Requirements and Reference Architecture</w:t>
      </w:r>
    </w:p>
    <w:p>
      <w:pPr>
        <w:pBdr>
          <w:bottom w:val="single" w:color="2E75B6" w:sz="12" w:space="4"/>
        </w:pBdr>
        <w:spacing w:after="240"/>
      </w:pPr>
    </w:p>
    <w:p>
      <w:pPr>
        <w:spacing w:after="360"/>
      </w:pPr>
      <w:r>
        <w:rPr>
          <w:i/>
          <w:iCs/>
          <w:color w:val="595959"/>
          <w:sz w:val="22"/>
          <w:szCs w:val="22"/>
        </w:rPr>
        <w:t xml:space="preserve">The system boundary, stakeholders, top-level functional and non-functional requirements, and the five-layer reference architecture with the inter-layer contracts every other specification implements.</w:t>
      </w:r>
    </w:p>
    <w:p>
      <w:pPr>
        <w:spacing w:after="120"/>
      </w:pPr>
      <w:r>
        <w:rPr>
          <w:b/>
          <w:bCs/>
          <w:color w:val="1F3A5F"/>
          <w:sz w:val="20"/>
          <w:szCs w:val="20"/>
        </w:rPr>
        <w:t xml:space="preserve">Proactive Infrastructure Disruption Detection &amp; Automated Incident Response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7"/>
        <w:gridCol w:w="6151"/>
      </w:tblGrid>
      <w:tr>
        <w:trPr>
          <w:cantSplit/>
          <w:tblHeader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Specification ID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TS-01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1.0 / Draft for architecture review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Sakul Gupta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Source white paper sections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PS Problem Statement · 01 Introduction · 02 Solution Architecture Overview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Depends on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TS-00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Deployment context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Industry-neutral; regulated-industry controls exposed as configuration</w:t>
            </w:r>
          </w:p>
        </w:tc>
      </w:tr>
      <w:tr>
        <w:trPr>
          <w:cantSplit/>
          <w:tblHeader w:val="false"/>
        </w:trPr>
        <w:tc>
          <w:tcPr>
            <w:tcW w:type="dxa" w:w="34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Document structure</w:t>
            </w:r>
          </w:p>
        </w:tc>
        <w:tc>
          <w:tcPr>
            <w:tcW w:type="dxa" w:w="61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Part A — Design-level specification · Part B — Low-level (build-ready) specification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A — DESIGN-LEVEL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1. Purpose and Scope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2. Problem Definition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3. Stakeholders and Actors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4. Reference Architecture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4.1 Five processing layers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4.2 Cross-cutting planes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4.3 End-to-end data flow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4.4 Architectural principles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5. System Requirements Baseline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5.1 Functional requirements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5.2 Non-functional requirements</w:t>
      </w:r>
    </w:p>
    <w:p>
      <w:pPr>
        <w:spacing w:after="20" w:before="200"/>
      </w:pPr>
      <w:r>
        <w:rPr>
          <w:b/>
          <w:bCs/>
          <w:color w:val="1F3A5F"/>
          <w:sz w:val="20"/>
          <w:szCs w:val="20"/>
        </w:rPr>
        <w:t xml:space="preserve">PART B — LOW-LEVEL SPECIFICATION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6. Inter-Layer Contracts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6.1 Common envelope (all topics)</w:t>
      </w:r>
    </w:p>
    <w:p>
      <w:pPr>
        <w:spacing w:after="10"/>
        <w:ind w:left="360"/>
      </w:pPr>
      <w:r>
        <w:rPr>
          <w:color w:val="595959"/>
          <w:sz w:val="17"/>
          <w:szCs w:val="17"/>
        </w:rPr>
        <w:t xml:space="preserve">6.2 Delivery semantics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7. Environment and Tenancy Model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8. Context-Level Failure Modes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9. Security Baseline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10. Acceptance Criteria (System Level)</w:t>
      </w:r>
    </w:p>
    <w:p>
      <w:pPr>
        <w:spacing w:after="20" w:before="60"/>
      </w:pPr>
      <w:r>
        <w:rPr>
          <w:b w:val="false"/>
          <w:bCs w:val="false"/>
          <w:color w:val="1F2937"/>
          <w:sz w:val="19"/>
          <w:szCs w:val="19"/>
        </w:rPr>
        <w:t xml:space="preserve">11. Assumptions and Open Issues</w:t>
      </w:r>
    </w:p>
    <w:p>
      <w:r>
        <w:br w:type="page"/>
      </w: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A — DESIGN-LEVEL SPECIFICATION</w:t>
      </w:r>
    </w:p>
    <w:p>
      <w:pPr>
        <w:pStyle w:val="Heading1"/>
      </w:pPr>
      <w:r>
        <w:t xml:space="preserve">1. Purpose and Scope</w:t>
      </w:r>
    </w:p>
    <w:p>
      <w:pPr>
        <w:spacing w:after="120"/>
      </w:pPr>
      <w:r>
        <w:t xml:space="preserve">This specification fixes the system boundary and the requirements baseline for the solution, and defines the five-layer reference architecture and the contracts between layers. Component specifications TS-02 to TS-16 MUST trace their requirements to the system requirements in Section 5.</w:t>
      </w:r>
    </w:p>
    <w:p>
      <w:pPr>
        <w:spacing w:after="120"/>
      </w:pPr>
      <w:r>
        <w:rPr>
          <w:b/>
          <w:bCs/>
        </w:rPr>
        <w:t xml:space="preserve">In scope:</w:t>
      </w:r>
      <w:r>
        <w:t xml:space="preserve"> detection of impending infrastructure, application, data and security disruption from telemetry; automated creation and enrichment of incidents; GenAI enrichment and agent-driven response within a governed safety envelope; self-management of the solution itself.</w:t>
      </w:r>
    </w:p>
    <w:p>
      <w:pPr>
        <w:spacing w:after="120"/>
      </w:pPr>
      <w:r>
        <w:rPr>
          <w:b/>
          <w:bCs/>
        </w:rPr>
        <w:t xml:space="preserve">Out of scope:</w:t>
      </w:r>
      <w:r>
        <w:t xml:space="preserve"> replacing the organisation's ITSM platform, SIEM, APM or observability stores; business continuity decisions; customer-facing communication content approval (the solution drafts, humans approve unless configured otherwise); remediation of Tier 4 actions (TS-16).</w:t>
      </w:r>
    </w:p>
    <w:p>
      <w:pPr>
        <w:pStyle w:val="Heading1"/>
      </w:pPr>
      <w:r>
        <w:t xml:space="preserve">2. Problem Definition</w:t>
      </w:r>
    </w:p>
    <w:p>
      <w:pPr>
        <w:spacing w:after="120"/>
      </w:pPr>
      <w:r>
        <w:t xml:space="preserve">The solution addresses six operational failure patterns. Each is restated as a design driver with the mechanism that answers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5"/>
        <w:gridCol w:w="2774"/>
        <w:gridCol w:w="3000"/>
        <w:gridCol w:w="2979"/>
      </w:tblGrid>
      <w:tr>
        <w:trPr>
          <w:cantSplit/>
          <w:tblHeader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Design driver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Primary mechanism (spec)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P-1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Dynamic environments make static thresholds unreliable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Thresholds MUST be learned per entity and per context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Four-layer baselining (TS-06)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P-2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Cascade failures propagate across microservice dependencies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MUST reason over topology, not only per-entity metrics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GNN model (TS-05), dependency graph (TS-03 CMDB resolution)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P-3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Threats mimic benign traffic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 signals MUST be scored behaviourally, not only by signature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Behavioural features (TS-04), security domain sources (TS-02)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P-4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Alert fatigue from false positives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False positive rate on auto-created tickets MUST stay below 5%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Five-filter suppression (TS-07), feedback loop (TS-11)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P-5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Fragmented visibility across tools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telemetry MUST be normalised to one schema with resolved entities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ECS normalisation, entity resolution (TS-03)</w:t>
            </w:r>
          </w:p>
        </w:tc>
      </w:tr>
      <w:tr>
        <w:trPr>
          <w:cantSplit/>
          <w:tblHeader w:val="false"/>
        </w:trPr>
        <w:tc>
          <w:tcPr>
            <w:tcW w:type="dxa" w:w="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P-6</w:t>
            </w:r>
          </w:p>
        </w:tc>
        <w:tc>
          <w:tcPr>
            <w:tcW w:type="dxa" w:w="27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Reactive posture</w:t>
            </w:r>
          </w:p>
        </w:tc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Incidents MUST be raised from precursor signals before user impact</w:t>
            </w:r>
          </w:p>
        </w:tc>
        <w:tc>
          <w:tcPr>
            <w:tcW w:type="dxa" w:w="297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Transformer precursor model (TS-05), proactive detection KPI (TS-17)</w:t>
            </w:r>
          </w:p>
        </w:tc>
      </w:tr>
    </w:tbl>
    <w:p>
      <w:pPr>
        <w:spacing w:after="80"/>
      </w:pPr>
    </w:p>
    <w:p>
      <w:pPr>
        <w:pBdr>
          <w:left w:val="single" w:color="D9822B" w:sz="18" w:space="8"/>
        </w:pBdr>
        <w:shd w:fill="FFF7E6" w:color="auto" w:val="clear"/>
        <w:spacing w:after="160" w:before="120"/>
        <w:ind w:left="160" w:right="160"/>
      </w:pPr>
      <w:r>
        <w:rPr>
          <w:sz w:val="19"/>
          <w:szCs w:val="19"/>
        </w:rPr>
        <w:t xml:space="preserve">Working premise carried from the white paper: 60–80% of production outages show detectable precursor signals 15–60 minutes before user impact. The solution's value depends on this premise holding in the target estate; TS-17 Phase 1 validates it against 90 days of historical incidents before Phase 3 automation is enabled.</w:t>
      </w:r>
    </w:p>
    <w:p>
      <w:pPr>
        <w:pStyle w:val="Heading1"/>
      </w:pPr>
      <w:r>
        <w:t xml:space="preserve">3. Stakeholders and Actors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6"/>
        <w:gridCol w:w="1478"/>
        <w:gridCol w:w="5084"/>
      </w:tblGrid>
      <w:tr>
        <w:trPr>
          <w:cantSplit/>
          <w:tblHeader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On-call engineer / SRE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Receives pages, acknowledges, approves Tier 3 actions, labels incidents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NOC / SOC analyst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Reviews detections, marks false positives, corrects root cause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Service owner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Owns runbooks, receives deployment-correlated anomalies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manager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Runs P1 major incident protocol; receives handover briefs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Technology leadership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Receives executive summaries and monthly KPI reports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Governance Committee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Approves major model versions, reviews bias and drift reports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Telemetry sources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Emit logs, metrics, traces, events (TS-02)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CMDB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Supplies entity, ownership and dependency data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/ paging platforms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Receive incidents, return feedback (TS-08)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management system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Supplies deployments, change freezes, maintenance windows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provider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Serves inference via the internal gateway (TS-13)</w:t>
            </w:r>
          </w:p>
        </w:tc>
      </w:tr>
      <w:tr>
        <w:trPr>
          <w:cantSplit/>
          <w:tblHeader w:val="false"/>
        </w:trPr>
        <w:tc>
          <w:tcPr>
            <w:tcW w:type="dxa" w:w="307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Target infrastructure APIs</w:t>
            </w:r>
          </w:p>
        </w:tc>
        <w:tc>
          <w:tcPr>
            <w:tcW w:type="dxa" w:w="147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System</w:t>
            </w:r>
          </w:p>
        </w:tc>
        <w:tc>
          <w:tcPr>
            <w:tcW w:type="dxa" w:w="508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Receive remediation actions from agents (TS-15, TS-16)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Reference Architecture</w:t>
      </w:r>
    </w:p>
    <w:p>
      <w:pPr>
        <w:pStyle w:val="Heading2"/>
      </w:pPr>
      <w:r>
        <w:t xml:space="preserve">4.1 Five processing layers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6"/>
        <w:gridCol w:w="2361"/>
        <w:gridCol w:w="4455"/>
        <w:gridCol w:w="1766"/>
      </w:tblGrid>
      <w:tr>
        <w:trPr>
          <w:cantSplit/>
          <w:tblHeader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L1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Collection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 logs, metrics, traces and events via OpenTelemetry from six observability domains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TS-02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L2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Ingestion &amp; Normalisation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Aggregate, deduplicate, normalise to ECS, resolve entities, enrich, extract features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TS-03, TS-04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L3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Pattern Analysis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Score feature streams with a five-model ensemble against four-layer baselines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TS-05, TS-06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L4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&amp; Classification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Suppress false positives, assign P1–P4, construct incident payload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105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L5</w:t>
            </w:r>
          </w:p>
        </w:tc>
        <w:tc>
          <w:tcPr>
            <w:tcW w:type="dxa" w:w="236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 Orchestration</w:t>
            </w:r>
          </w:p>
        </w:tc>
        <w:tc>
          <w:tcPr>
            <w:tcW w:type="dxa" w:w="445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Create and manage incidents in ITSM; notify; collect feedback</w:t>
            </w:r>
          </w:p>
        </w:tc>
        <w:tc>
          <w:tcPr>
            <w:tcW w:type="dxa" w:w="17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Cross-cutting planes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4463"/>
        <w:gridCol w:w="2554"/>
      </w:tblGrid>
      <w:tr>
        <w:trPr>
          <w:cantSplit/>
          <w:tblHeader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Plane</w:t>
            </w:r>
          </w:p>
        </w:tc>
        <w:tc>
          <w:tcPr>
            <w:tcW w:type="dxa" w:w="44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Specifications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Intelligence plane</w:t>
            </w:r>
          </w:p>
        </w:tc>
        <w:tc>
          <w:tcPr>
            <w:tcW w:type="dxa" w:w="44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GenAI enrichment; six-agent network acting on incidents</w:t>
            </w:r>
          </w:p>
        </w:tc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TS-13, TS-14, TS-15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44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Governance, self-management, self-correction, agent safety</w:t>
            </w:r>
          </w:p>
        </w:tc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TS-10, TS-11, TS-16</w:t>
            </w:r>
          </w:p>
        </w:tc>
      </w:tr>
      <w:tr>
        <w:trPr>
          <w:cantSplit/>
          <w:tblHeader w:val="false"/>
        </w:trPr>
        <w:tc>
          <w:tcPr>
            <w:tcW w:type="dxa" w:w="26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Infrastructure plane</w:t>
            </w:r>
          </w:p>
        </w:tc>
        <w:tc>
          <w:tcPr>
            <w:tcW w:type="dxa" w:w="44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Kubernetes runtime, HA/DR, scaling, security controls</w:t>
            </w:r>
          </w:p>
        </w:tc>
        <w:tc>
          <w:tcPr>
            <w:tcW w:type="dxa" w:w="255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TS-09, TS-12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4.3 End-to-end data flow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[Sources: 6 domains] --OTLP/syslog/API--&gt; [OTel Collectors] --Kafka raw.&lt;domain&gt;--&gt; 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[Flink: aggregate, dedup, normalise, resolve, enrich] --Kafka norm.events--&gt; 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[Flink: feature extraction 1m/5m/1h] --&gt; [Feature Store (Redis)] + Kafka features.vectors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--&gt; [ML Inference: LSTM-AE | IsoForest | GNN | Transformer | SPC] --&gt; [Score Fusion]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--Kafka ml.detections--&gt; [Decision Engine: suppress, classify, payload]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--Kafka decision.incidents--&gt; [ITSM Integration] --&gt; ServiceNow / PagerDuty / JSM / OpsGenie / Slack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                                \--&gt; [Orchestrator Agent] --&gt; Triage / Diagnostic / Comms / Remediation / Learning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ITSM feedback --Kafka feedback.labels--&gt; [Learning Agent / retraining queue] --&gt; [Model Registry] --&gt; ML Inference</w:t>
      </w:r>
    </w:p>
    <w:p>
      <w:pPr>
        <w:pStyle w:val="Heading2"/>
      </w:pPr>
      <w:r>
        <w:t xml:space="preserve">4.4 Architectural principles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4"/>
        <w:gridCol w:w="6474"/>
      </w:tblGrid>
      <w:tr>
        <w:trPr>
          <w:cantSplit/>
          <w:tblHeader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Obligation on component specifications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 standards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Collection MUST use OpenTelemetry (OTLP); schemas MUST be registered (Avro/Protobuf); no proprietary agent is mandatory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Event-driven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Inter-layer communication MUST be asynchronous via Kafka topics; synchronous calls are limited to look-ups with timeouts and fallbacks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Defence in depth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 single model, filter or agent is a single point of detection; each layer degrades gracefully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score, decision and agent action MUST carry machine- and human-readable rationale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Independently replaceable layers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Each layer MUST be replaceable behind its contract (topic schema or API) without changing adjacent layers</w:t>
            </w:r>
          </w:p>
        </w:tc>
      </w:tr>
      <w:tr>
        <w:trPr>
          <w:cantSplit/>
          <w:tblHeader w:val="false"/>
        </w:trPr>
        <w:tc>
          <w:tcPr>
            <w:tcW w:type="dxa" w:w="316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authority</w:t>
            </w:r>
          </w:p>
        </w:tc>
        <w:tc>
          <w:tcPr>
            <w:tcW w:type="dxa" w:w="647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Humans MUST be able to pause, override and reverse automated behaviour at every layer (TS-16 kill switch)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System Requirements Baseline</w:t>
      </w:r>
    </w:p>
    <w:p>
      <w:pPr>
        <w:pStyle w:val="Heading2"/>
      </w:pPr>
      <w:r>
        <w:t xml:space="preserve">5.1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8"/>
        <w:gridCol w:w="4748"/>
        <w:gridCol w:w="1563"/>
        <w:gridCol w:w="1889"/>
      </w:tblGrid>
      <w:tr>
        <w:trPr>
          <w:cantSplit/>
          <w:tblHeader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Traces to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Realised by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TS01-FR-001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ingest telemetry from all six observability domains through a single normalised pipeline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P-5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TS-02, TS-03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TS01-FR-002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maintain behavioural baselines per entity, per entity class, per operating context and per peer group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P-1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TS-06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TS01-FR-003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score each entity's feature stream with at least five complementary detection models and fuse the scores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P-1, P-2, P-3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TS01-FR-004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correlate anomalies across layers and produce ranked root-cause candidates and blast radius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P-2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TS-05, TS-07, TS-15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TS01-FR-005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suppress false positives using maintenance, deployment, flap, duration and analyst-feedback filters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P-4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TS01-FR-006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create a fully enriched incident in the ITSM platform within 60 seconds of a decision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P-6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TS-07, TS-08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TS01-FR-007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accept analyst feedback bidirectionally and convert it into training labels and rule updates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P-4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TS-08, TS-11, TS-15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TS01-FR-008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generate natural-language incident narratives, hypotheses, communications and post-incident reports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P-6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TS01-FR-009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execute pre-approved remediation through agents constrained by a four-tier safety model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P-6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TS-15, TS-16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TS01-FR-010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monitor and correct its own health, configuration, model quality and thresholds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P-4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</w:t>
            </w:r>
          </w:p>
        </w:tc>
      </w:tr>
      <w:tr>
        <w:trPr>
          <w:cantSplit/>
          <w:tblHeader w:val="false"/>
        </w:trPr>
        <w:tc>
          <w:tcPr>
            <w:tcW w:type="dxa" w:w="14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TS01-FR-011</w:t>
            </w:r>
          </w:p>
        </w:tc>
        <w:tc>
          <w:tcPr>
            <w:tcW w:type="dxa" w:w="474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system MUST retain an immutable audit trail of every prediction, decision and action</w:t>
            </w:r>
          </w:p>
        </w:tc>
        <w:tc>
          <w:tcPr>
            <w:tcW w:type="dxa" w:w="156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8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TS-10, TS-16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5"/>
        <w:gridCol w:w="2134"/>
        <w:gridCol w:w="5529"/>
      </w:tblGrid>
      <w:tr>
        <w:trPr>
          <w:cantSplit/>
          <w:tblHeader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 (baseline default)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TS01-NFR-001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Latency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P99 event-emission-to-ML-score latency ≤ 30 s (KRI threshold)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TS01-NFR-002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Latency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to ITSM ticket created ≤ 60 s; GenAI narrative appended ≤ 10 s after ticket creation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TS01-NFR-003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Throughput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Sustain 500,000 eps; burst to 2,000,000 eps for ≥ 15 min without data loss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TS01-NFR-004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pipeline availability ≥ 99.9% monthly; Feature Store availability ≥ 99.9%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TS01-NFR-005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Resilience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RPO &lt; 5 min, RTO &lt; 15 min for the core detection pipeline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TS01-NFR-006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Durability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Zero acknowledged-event loss on single node or single AZ failure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TS01-NFR-007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Accuracy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Precision &gt; 0.85, recall &gt; 0.90, weighted F1 &gt; 0.85 at Month 12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TS01-NFR-008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Noise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False positive rate &lt; 5% of auto-created tickets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TS01-NFR-009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detections carry SHAP top-features and per-model contributions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TS01-NFR-010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Predictions retained ≥ 12 months; agent audit ≥ 24 months; append-only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TS01-NFR-011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stateless component horizontally scalable; no architectural change to 4× baseline volume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TS01-NFR-012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Portability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Runs on any CNCF-conformant Kubernetes ≥ 1.29, on-premises or cloud</w:t>
            </w:r>
          </w:p>
        </w:tc>
      </w:tr>
      <w:tr>
        <w:trPr>
          <w:cantSplit/>
          <w:tblHeader w:val="false"/>
        </w:trPr>
        <w:tc>
          <w:tcPr>
            <w:tcW w:type="dxa" w:w="197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TS01-NFR-013</w:t>
            </w:r>
          </w:p>
        </w:tc>
        <w:tc>
          <w:tcPr>
            <w:tcW w:type="dxa" w:w="213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5529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mTLS for all service-to-service traffic; AES-256 at rest; SSO via OIDC/SAML; RBAC</w:t>
            </w:r>
          </w:p>
        </w:tc>
      </w:tr>
    </w:tbl>
    <w:p>
      <w:pPr>
        <w:spacing w:after="80"/>
      </w:pPr>
    </w:p>
    <w:p>
      <w:pPr>
        <w:pStyle w:val="Heading1"/>
        <w:pBdr>
          <w:left w:val="single" w:color="1F3A5F" w:sz="24" w:space="6"/>
        </w:pBdr>
        <w:shd w:fill="EAF1F8" w:color="auto" w:val="clear"/>
        <w:spacing w:after="200" w:before="480"/>
      </w:pPr>
      <w:r>
        <w:t xml:space="preserve">PART B — LOW-LEVEL SPECIFICATION</w:t>
      </w:r>
    </w:p>
    <w:p>
      <w:pPr>
        <w:pStyle w:val="Heading1"/>
      </w:pPr>
      <w:r>
        <w:t xml:space="preserve">6. Inter-Layer Contracts</w:t>
      </w:r>
    </w:p>
    <w:p>
      <w:pPr>
        <w:spacing w:after="120"/>
      </w:pPr>
      <w:r>
        <w:t xml:space="preserve">All inter-layer contracts are Kafka topics with schemas registered in the Schema Registry under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BACKWARD_TRANSITIVE</w:t>
      </w:r>
      <w:r>
        <w:t xml:space="preserve"> compatibility. Topic names follow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&lt;layer&gt;.&lt;object&gt;[.&lt;qualifier&gt;]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2"/>
        <w:gridCol w:w="1307"/>
        <w:gridCol w:w="1405"/>
        <w:gridCol w:w="894"/>
        <w:gridCol w:w="1386"/>
        <w:gridCol w:w="1058"/>
        <w:gridCol w:w="1266"/>
      </w:tblGrid>
      <w:tr>
        <w:trPr>
          <w:cantSplit/>
          <w:tblHeader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Consumers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Schema subject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Partitions (baseline)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raw.network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raw.security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raw.application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raw.database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raw.platform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raw.business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OTel Collector gateway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Normaliser (TS-03), archiver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source_host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raw.&lt;domain&gt;-value</w:t>
            </w:r>
            <w:r>
              <w:rPr>
                <w:sz w:val="18"/>
                <w:szCs w:val="18"/>
              </w:rPr>
              <w:t xml:space="preserve"> (Avro envelope)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96 each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72 h (12 h local, rest tiered)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Normaliser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extractor, log store sink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norm.events-value</w:t>
            </w:r>
            <w:r>
              <w:rPr>
                <w:sz w:val="18"/>
                <w:szCs w:val="18"/>
              </w:rPr>
              <w:t xml:space="preserve"> (ECS Avro)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72 h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norm.deadletter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Normaliser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Data engineering triage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source_id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norm.deadletter-value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14 d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Feature extractor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inference, training materialiser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192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 h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Score fusion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engine, audit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entity_id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48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 d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decision.incidents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integration, Orchestrator agent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decision.incidents-value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30 d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integration, Learning agent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Retraining queue, suppression manager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feedback.labels-value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90 d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control.config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GitOps controller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components (hot-reload)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component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control.config-value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compacted</w:t>
            </w:r>
          </w:p>
        </w:tc>
      </w:tr>
      <w:tr>
        <w:trPr>
          <w:cantSplit/>
          <w:tblHeader w:val="false"/>
        </w:trPr>
        <w:tc>
          <w:tcPr>
            <w:tcW w:type="dxa" w:w="232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audit.trail</w:t>
            </w:r>
          </w:p>
        </w:tc>
        <w:tc>
          <w:tcPr>
            <w:tcW w:type="dxa" w:w="130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components</w:t>
            </w:r>
          </w:p>
        </w:tc>
        <w:tc>
          <w:tcPr>
            <w:tcW w:type="dxa" w:w="140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Audit sink (immutable store)</w:t>
            </w:r>
          </w:p>
        </w:tc>
        <w:tc>
          <w:tcPr>
            <w:tcW w:type="dxa" w:w="894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object_id</w:t>
            </w:r>
          </w:p>
        </w:tc>
        <w:tc>
          <w:tcPr>
            <w:tcW w:type="dxa" w:w="138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audit.trail-value</w:t>
            </w:r>
          </w:p>
        </w:tc>
        <w:tc>
          <w:tcPr>
            <w:tcW w:type="dxa" w:w="105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26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7 d (sink is system of record)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 Common envelope (all topics)</w:t>
      </w:r>
    </w:p>
    <w:p>
      <w:pPr>
        <w:pBdr>
          <w:top w:val="single" w:color="F3F4F6" w:sz="2" w:space="2"/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record Envelope {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 schema_version;  // semver of payload schema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 message_id;  // UUIDv7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long    produced_at_ms;  // UTC epoch ms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 producer;  // component@version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string  trace_id;  // W3C traceparent trace-id for pipeline tracing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map&lt;string&gt; tenancy;  // org_unit, environment (prod|nonprod), region</w:t>
      </w:r>
    </w:p>
    <w:p>
      <w:pPr>
        <w:pBdr>
          <w:left w:val="single" w:color="2E75B6" w:sz="12" w:space="6"/>
        </w:pBdr>
        <w:shd w:fill="F3F4F6" w:color="auto" w:val="clear"/>
        <w:spacing w:after="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  bytes   payload;  // typed per subject</w:t>
      </w:r>
    </w:p>
    <w:p>
      <w:pPr>
        <w:pBdr>
          <w:left w:val="single" w:color="2E75B6" w:sz="12" w:space="6"/>
        </w:pBdr>
        <w:shd w:fill="F3F4F6" w:color="auto" w:val="clear"/>
        <w:spacing w:after="160" w:before="0" w:line="240"/>
        <w:ind w:left="120"/>
      </w:pPr>
      <w:r>
        <w:rPr>
          <w:rFonts w:ascii="Consolas" w:cs="Consolas" w:eastAsia="Consolas" w:hAnsi="Consolas"/>
          <w:color w:val="1F2937"/>
          <w:sz w:val="15"/>
          <w:szCs w:val="15"/>
        </w:rPr>
        <w:t xml:space="preserve">}</w:t>
      </w:r>
    </w:p>
    <w:p>
      <w:pPr>
        <w:pStyle w:val="Heading2"/>
      </w:pPr>
      <w:r>
        <w:t xml:space="preserve">6.2 Delivery semantics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2646"/>
        <w:gridCol w:w="3982"/>
      </w:tblGrid>
      <w:tr>
        <w:trPr>
          <w:cantSplit/>
          <w:tblHeader/>
        </w:trPr>
        <w:tc>
          <w:tcPr>
            <w:tcW w:type="dxa" w:w="30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Hop</w:t>
            </w:r>
          </w:p>
        </w:tc>
        <w:tc>
          <w:tcPr>
            <w:tcW w:type="dxa" w:w="2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Semantics</w:t>
            </w:r>
          </w:p>
        </w:tc>
        <w:tc>
          <w:tcPr>
            <w:tcW w:type="dxa" w:w="3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</w:tr>
      <w:tr>
        <w:trPr>
          <w:cantSplit/>
          <w:tblHeader w:val="false"/>
        </w:trPr>
        <w:tc>
          <w:tcPr>
            <w:tcW w:type="dxa" w:w="30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Collector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</w:p>
        </w:tc>
        <w:tc>
          <w:tcPr>
            <w:tcW w:type="dxa" w:w="2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At-least-once</w:t>
            </w:r>
          </w:p>
        </w:tc>
        <w:tc>
          <w:tcPr>
            <w:tcW w:type="dxa" w:w="3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Producer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acks=all</w:t>
            </w:r>
            <w:r>
              <w:rPr>
                <w:sz w:val="18"/>
                <w:szCs w:val="18"/>
              </w:rPr>
              <w:t xml:space="preserve">, idempotence on, collector disk buffer</w:t>
            </w:r>
          </w:p>
        </w:tc>
      </w:tr>
      <w:tr>
        <w:trPr>
          <w:cantSplit/>
          <w:tblHeader w:val="false"/>
        </w:trPr>
        <w:tc>
          <w:tcPr>
            <w:tcW w:type="dxa" w:w="30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raw.*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norm.events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</w:t>
            </w:r>
          </w:p>
        </w:tc>
        <w:tc>
          <w:tcPr>
            <w:tcW w:type="dxa" w:w="2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Exactly-once</w:t>
            </w:r>
          </w:p>
        </w:tc>
        <w:tc>
          <w:tcPr>
            <w:tcW w:type="dxa" w:w="3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Flink checkpointing + Kafka transactional sink</w:t>
            </w:r>
          </w:p>
        </w:tc>
      </w:tr>
      <w:tr>
        <w:trPr>
          <w:cantSplit/>
          <w:tblHeader w:val="false"/>
        </w:trPr>
        <w:tc>
          <w:tcPr>
            <w:tcW w:type="dxa" w:w="30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features.vectors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</w:p>
        </w:tc>
        <w:tc>
          <w:tcPr>
            <w:tcW w:type="dxa" w:w="2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At-least-once, idempotent consumer</w:t>
            </w:r>
          </w:p>
        </w:tc>
        <w:tc>
          <w:tcPr>
            <w:tcW w:type="dxa" w:w="3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 keyed by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feature_vector_id</w:t>
            </w:r>
            <w:r>
              <w:rPr>
                <w:sz w:val="18"/>
                <w:szCs w:val="18"/>
              </w:rPr>
              <w:t xml:space="preserve">; duplicates dropped in decision engine</w:t>
            </w:r>
          </w:p>
        </w:tc>
      </w:tr>
      <w:tr>
        <w:trPr>
          <w:cantSplit/>
          <w:tblHeader w:val="false"/>
        </w:trPr>
        <w:tc>
          <w:tcPr>
            <w:tcW w:type="dxa" w:w="301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decision.incidents</w:t>
            </w:r>
            <w:r>
              <w:rPr>
                <w:sz w:val="18"/>
                <w:szCs w:val="18"/>
              </w:rPr>
              <w:t xml:space="preserve"> → ITSM</w:t>
            </w:r>
          </w:p>
        </w:tc>
        <w:tc>
          <w:tcPr>
            <w:tcW w:type="dxa" w:w="2646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Effectively-once</w:t>
            </w:r>
          </w:p>
        </w:tc>
        <w:tc>
          <w:tcPr>
            <w:tcW w:type="dxa" w:w="3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Idempotency key =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incident_id</w:t>
            </w:r>
            <w:r>
              <w:rPr>
                <w:sz w:val="18"/>
                <w:szCs w:val="18"/>
              </w:rPr>
              <w:t xml:space="preserve">; ITSM correlation_id lookup before create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Environment and Tenancy Model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Environments: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prod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preprod</w:t>
      </w:r>
      <w:r>
        <w:t xml:space="preserve">,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dev</w:t>
      </w:r>
      <w:r>
        <w:t xml:space="preserve">. Production telemetry MUST NOT flow to non-production environments; non-production models train on synthetic or masked replays only.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Multi-tenancy: an organisational unit label (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tenancy.org_unit</w:t>
      </w:r>
      <w:r>
        <w:t xml:space="preserve">) is carried on every event and incident. RBAC policies and ITSM routing are scoped by org unit.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Regions: each region runs a full stack (TS-09); cross-region correlation operates on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ml.detections</w:t>
      </w:r>
      <w:r>
        <w:t xml:space="preserve"> and </w:t>
      </w:r>
      <w:r>
        <w:rPr>
          <w:rFonts w:ascii="Consolas" w:cs="Consolas" w:eastAsia="Consolas" w:hAnsi="Consolas"/>
          <w:color w:val="9B2C2C"/>
          <w:sz w:val="18"/>
          <w:szCs w:val="18"/>
        </w:rPr>
        <w:t xml:space="preserve">decision.incidents</w:t>
      </w:r>
      <w:r>
        <w:t xml:space="preserve"> only, never raw telemetry, so that data residency rules can be enforced per region.</w:t>
      </w:r>
    </w:p>
    <w:p>
      <w:pPr>
        <w:pStyle w:val="Heading1"/>
      </w:pPr>
      <w:r>
        <w:t xml:space="preserve">8. Context-Level Failure Modes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2"/>
        <w:gridCol w:w="2352"/>
        <w:gridCol w:w="3983"/>
        <w:gridCol w:w="1321"/>
      </w:tblGrid>
      <w:tr>
        <w:trPr>
          <w:cantSplit/>
          <w:tblHeader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behaviour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Kafka cluster unavailable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Producer error rate, controller health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Collectors buffer to disk (≥ 2 h at baseline rate); detection paused; platform P1 raised via out-of-band path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TS-03, TS-09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ML inference unavailable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Readiness probe, queue depth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SPC fast-path continues in Flink (degraded mode); incidents carry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degraded_detection=true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TS-05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Decision engine unavailable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Consumer lag on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ml.detections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Detections queue; no incidents created; out-of-band alert to platform team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TS-07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ITSM unavailable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3 consecutive API failures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Circuit breaker opens; incidents queued for replay; fallback page via secondary channel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TS-08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LLM unavailable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Gateway timeout / 5xx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Incidents created with structured payload only; enrichment replayed later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TS-13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misbehaviour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Rate-limit breach, guardrail violation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Agent paused by circuit breaker; Orchestrator routes to human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TS-16</w:t>
            </w:r>
          </w:p>
        </w:tc>
      </w:tr>
      <w:tr>
        <w:trPr>
          <w:cantSplit/>
          <w:tblHeader w:val="false"/>
        </w:trPr>
        <w:tc>
          <w:tcPr>
            <w:tcW w:type="dxa" w:w="198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Solution itself silent</w:t>
            </w:r>
          </w:p>
        </w:tc>
        <w:tc>
          <w:tcPr>
            <w:tcW w:type="dxa" w:w="2352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Heartbeat absence</w:t>
            </w:r>
          </w:p>
        </w:tc>
        <w:tc>
          <w:tcPr>
            <w:tcW w:type="dxa" w:w="398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External dead-man's-switch (independent synthetic) pages platform on-call if no heartbeat for 5 min</w:t>
            </w:r>
          </w:p>
        </w:tc>
        <w:tc>
          <w:tcPr>
            <w:tcW w:type="dxa" w:w="132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TS-11</w:t>
            </w:r>
          </w:p>
        </w:tc>
      </w:tr>
    </w:tbl>
    <w:p>
      <w:pPr>
        <w:spacing w:after="80"/>
      </w:pPr>
    </w:p>
    <w:p>
      <w:pPr>
        <w:pBdr>
          <w:left w:val="single" w:color="D9822B" w:sz="18" w:space="8"/>
        </w:pBdr>
        <w:shd w:fill="FFF7E6" w:color="auto" w:val="clear"/>
        <w:spacing w:after="160" w:before="120"/>
        <w:ind w:left="160" w:right="160"/>
      </w:pPr>
      <w:r>
        <w:rPr>
          <w:sz w:val="19"/>
          <w:szCs w:val="19"/>
        </w:rPr>
        <w:t xml:space="preserve">The solution MUST NOT be the only path by which its own failures are reported. A dead-man's-switch hosted outside the solution's failure domain is mandatory.</w:t>
      </w:r>
    </w:p>
    <w:p>
      <w:pPr>
        <w:pStyle w:val="Heading1"/>
      </w:pPr>
      <w:r>
        <w:t xml:space="preserve">9. Security Baseline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7"/>
        <w:gridCol w:w="7351"/>
      </w:tblGrid>
      <w:tr>
        <w:trPr>
          <w:cantSplit/>
          <w:tblHeader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TS01-SEC-001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All service identities issued by the platform PKI (cert-manager); mTLS enforced by service mesh in STRICT mode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TS01-SEC-002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Human access via corporate IdP (OIDC/SAML) with MFA; roles: viewer, analyst, approver, operator, ml-engineer, admin, auditor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TS01-SEC-003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Secrets held in an external secrets manager; no secrets in Git, images or environment files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TS01-SEC-004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PII pseudonymised before ML training (TS-10); LLM prompts pass through redaction (TS-13)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TS01-SEC-005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Every write to an external system is attributable to a service identity and, for agents, to an </w:t>
            </w:r>
            <w:r>
              <w:rPr>
                <w:rFonts w:ascii="Consolas" w:cs="Consolas" w:eastAsia="Consolas" w:hAnsi="Consolas"/>
                <w:color w:val="9B2C2C"/>
                <w:sz w:val="18"/>
                <w:szCs w:val="18"/>
              </w:rPr>
              <w:t xml:space="preserve">action_id</w:t>
            </w:r>
          </w:p>
        </w:tc>
      </w:tr>
      <w:tr>
        <w:trPr>
          <w:cantSplit/>
          <w:tblHeader w:val="false"/>
        </w:trPr>
        <w:tc>
          <w:tcPr>
            <w:tcW w:type="dxa" w:w="228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TS01-SEC-006</w:t>
            </w:r>
          </w:p>
        </w:tc>
        <w:tc>
          <w:tcPr>
            <w:tcW w:type="dxa" w:w="7351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The solution's own logs and audit trail are forwarded to the organisation's SIEM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Acceptance Criteria (System Level)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3"/>
        <w:gridCol w:w="5885"/>
        <w:gridCol w:w="2080"/>
      </w:tblGrid>
      <w:tr>
        <w:trPr>
          <w:cantSplit/>
          <w:tblHeader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TS01-AC-001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Replay of 30 days of production telemetry produces normalised events from all six domains with &lt; 2% schema rejection per source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FR-001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TS01-AC-002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Load test sustains 500k eps for 4 h and 2M eps for 15 min with P99 score latency ≤ 30 s and zero acknowledged loss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NFR-001, 003, 006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TS01-AC-003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Chaos test removing one AZ produces no event loss and recovers full throughput within 10 min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NFR-004, 006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TS01-AC-004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DR exercise achieves RPO &lt; 5 min and RTO &lt; 15 min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NFR-005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TS01-AC-005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Back-test against 90 days of labelled historical incidents shows proactive detection on ≥ 60% of eligible incidents before Phase 3 entry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FR-003, P-6</w:t>
            </w:r>
          </w:p>
        </w:tc>
      </w:tr>
      <w:tr>
        <w:trPr>
          <w:cantSplit/>
          <w:tblHeader w:val="false"/>
        </w:trPr>
        <w:tc>
          <w:tcPr>
            <w:tcW w:type="dxa" w:w="167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TS01-AC-006</w:t>
            </w:r>
          </w:p>
        </w:tc>
        <w:tc>
          <w:tcPr>
            <w:tcW w:type="dxa" w:w="5885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100% of sampled detections, decisions and agent actions are reconstructable from the audit trail</w:t>
            </w:r>
          </w:p>
        </w:tc>
        <w:tc>
          <w:tcPr>
            <w:tcW w:type="dxa" w:w="208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FR-011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Assumptions and Open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4613"/>
        <w:gridCol w:w="3988"/>
      </w:tblGrid>
      <w:tr>
        <w:trPr>
          <w:cantSplit/>
          <w:tblHeader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cantSplit/>
          <w:tblHeader w:val="false"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 CMDB exists with ≥ 90% coverage of production CIs and service ownership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Assumption — validated in TS-17 readiness</w:t>
            </w:r>
          </w:p>
        </w:tc>
      </w:tr>
      <w:tr>
        <w:trPr>
          <w:cantSplit/>
          <w:tblHeader w:val="false"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A-02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At least 18 months of incident history with root cause fields is available for Transformer training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Assumption — fallback: Transformer disabled until corpus reaches 12 months</w:t>
            </w:r>
          </w:p>
        </w:tc>
      </w:tr>
      <w:tr>
        <w:trPr>
          <w:cantSplit/>
          <w:tblHeader w:val="false"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A-03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Change management exposes deployments and freezes via API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Assumption</w:t>
            </w:r>
          </w:p>
        </w:tc>
      </w:tr>
      <w:tr>
        <w:trPr>
          <w:cantSplit/>
          <w:tblHeader w:val="false"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OI-01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Choice of single vs. separate Kafka clusters for raw telemetry and decision topics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 — recommended separate clusters to isolate blast radius</w:t>
            </w:r>
          </w:p>
        </w:tc>
      </w:tr>
      <w:tr>
        <w:trPr>
          <w:cantSplit/>
          <w:tblHeader w:val="false"/>
        </w:trPr>
        <w:tc>
          <w:tcPr>
            <w:tcW w:type="dxa" w:w="1037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OI-02</w:t>
            </w:r>
          </w:p>
        </w:tc>
        <w:tc>
          <w:tcPr>
            <w:tcW w:type="dxa" w:w="4613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Whether customer-facing status updates may be auto-published for P2</w:t>
            </w:r>
          </w:p>
        </w:tc>
        <w:tc>
          <w:tcPr>
            <w:tcW w:type="dxa" w:w="398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52"/>
            </w:pPr>
            <w:r>
              <w:rPr>
                <w:sz w:val="18"/>
                <w:szCs w:val="18"/>
              </w:rPr>
              <w:t xml:space="preserve">Open — policy decision for TS-15 Comms agent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595959"/>
        <w:sz w:val="16"/>
        <w:szCs w:val="16"/>
      </w:rPr>
      <w:t xml:space="preserve">Sakul Gupta · Confidential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4" w:sz="4" w:space="4"/>
      </w:pBdr>
      <w:tabs>
        <w:tab w:val="right" w:pos="9638"/>
      </w:tabs>
    </w:pPr>
    <w:r>
      <w:rPr>
        <w:color w:val="595959"/>
        <w:sz w:val="16"/>
        <w:szCs w:val="16"/>
      </w:rPr>
      <w:t xml:space="preserve">TS-01 · System Context, Requirements and Reference Architecture</w:t>
    </w:r>
    <w:r>
      <w:rPr>
        <w:color w:val="595959"/>
        <w:sz w:val="16"/>
        <w:szCs w:val="16"/>
      </w:rPr>
      <w:t xml:space="preserve">	Technical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33F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 System Context, Requirements and Reference Architecture</dc:title>
  <dc:creator>Sakul Gupta</dc:creator>
  <cp:lastModifiedBy>Un-named</cp:lastModifiedBy>
  <cp:revision>1</cp:revision>
  <dcterms:created xsi:type="dcterms:W3CDTF">2026-10-14T09:35:30.393Z</dcterms:created>
  <dcterms:modified xsi:type="dcterms:W3CDTF">2026-10-14T09:35:30.393Z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