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</w:pPr>
      <w:r>
        <w:rPr>
          <w:b/>
          <w:bCs/>
          <w:color w:val="2E75B6"/>
          <w:spacing w:val="40"/>
          <w:sz w:val="22"/>
          <w:szCs w:val="22"/>
        </w:rPr>
        <w:t xml:space="preserve">TECHNICAL SPECIFICATION</w:t>
      </w:r>
    </w:p>
    <w:p>
      <w:pPr>
        <w:spacing w:after="80"/>
      </w:pPr>
      <w:r>
        <w:rPr>
          <w:b/>
          <w:bCs/>
          <w:color w:val="595959"/>
          <w:sz w:val="32"/>
          <w:szCs w:val="32"/>
        </w:rPr>
        <w:t xml:space="preserve">TS-03</w:t>
      </w:r>
    </w:p>
    <w:p>
      <w:pPr>
        <w:spacing w:after="240"/>
      </w:pPr>
      <w:r>
        <w:rPr>
          <w:b/>
          <w:bCs/>
          <w:color w:val="1F3A5F"/>
          <w:sz w:val="48"/>
          <w:szCs w:val="48"/>
        </w:rPr>
        <w:t xml:space="preserve">Ingestion, Normalisation and Stream Processing</w:t>
      </w:r>
    </w:p>
    <w:p>
      <w:pPr>
        <w:pBdr>
          <w:bottom w:val="single" w:color="2E75B6" w:sz="12" w:space="4"/>
        </w:pBdr>
        <w:spacing w:after="240"/>
      </w:pPr>
    </w:p>
    <w:p>
      <w:pPr>
        <w:spacing w:after="360"/>
      </w:pPr>
      <w:r>
        <w:rPr>
          <w:i/>
          <w:iCs/>
          <w:color w:val="595959"/>
          <w:sz w:val="22"/>
          <w:szCs w:val="22"/>
        </w:rPr>
        <w:t xml:space="preserve">The Kafka backbone and the Flink jobs that aggregate, deduplicate, order, normalise to ECS, resolve entities against the CMDB and enrich events with threat intelligence and change context.</w:t>
      </w:r>
    </w:p>
    <w:p>
      <w:pPr>
        <w:spacing w:after="120"/>
      </w:pPr>
      <w:r>
        <w:rPr>
          <w:b/>
          <w:bCs/>
          <w:color w:val="1F3A5F"/>
          <w:sz w:val="20"/>
          <w:szCs w:val="20"/>
        </w:rPr>
        <w:t xml:space="preserve">Proactive Infrastructure Disruption Detection &amp; Automated Incident Response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99"/>
        <w:gridCol w:w="6239"/>
      </w:tblGrid>
      <w:tr>
        <w:trPr>
          <w:cantSplit/>
          <w:tblHeader/>
        </w:trPr>
        <w:tc>
          <w:tcPr>
            <w:tcW w:type="dxa" w:w="339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23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rPr>
          <w:cantSplit/>
          <w:tblHeader w:val="false"/>
        </w:trPr>
        <w:tc>
          <w:tcPr>
            <w:tcW w:type="dxa" w:w="339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Specification ID</w:t>
            </w:r>
          </w:p>
        </w:tc>
        <w:tc>
          <w:tcPr>
            <w:tcW w:type="dxa" w:w="623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TS-03</w:t>
            </w:r>
          </w:p>
        </w:tc>
      </w:tr>
      <w:tr>
        <w:trPr>
          <w:cantSplit/>
          <w:tblHeader w:val="false"/>
        </w:trPr>
        <w:tc>
          <w:tcPr>
            <w:tcW w:type="dxa" w:w="339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Version / Status</w:t>
            </w:r>
          </w:p>
        </w:tc>
        <w:tc>
          <w:tcPr>
            <w:tcW w:type="dxa" w:w="623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1.0 / Draft for architecture review</w:t>
            </w:r>
          </w:p>
        </w:tc>
      </w:tr>
      <w:tr>
        <w:trPr>
          <w:cantSplit/>
          <w:tblHeader w:val="false"/>
        </w:trPr>
        <w:tc>
          <w:tcPr>
            <w:tcW w:type="dxa" w:w="339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Date</w:t>
            </w:r>
          </w:p>
        </w:tc>
        <w:tc>
          <w:tcPr>
            <w:tcW w:type="dxa" w:w="623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14 October 2026</w:t>
            </w:r>
          </w:p>
        </w:tc>
      </w:tr>
      <w:tr>
        <w:trPr>
          <w:cantSplit/>
          <w:tblHeader w:val="false"/>
        </w:trPr>
        <w:tc>
          <w:tcPr>
            <w:tcW w:type="dxa" w:w="339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Author</w:t>
            </w:r>
          </w:p>
        </w:tc>
        <w:tc>
          <w:tcPr>
            <w:tcW w:type="dxa" w:w="623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Sakul Gupta</w:t>
            </w:r>
          </w:p>
        </w:tc>
      </w:tr>
      <w:tr>
        <w:trPr>
          <w:cantSplit/>
          <w:tblHeader w:val="false"/>
        </w:trPr>
        <w:tc>
          <w:tcPr>
            <w:tcW w:type="dxa" w:w="339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Source white paper sections</w:t>
            </w:r>
          </w:p>
        </w:tc>
        <w:tc>
          <w:tcPr>
            <w:tcW w:type="dxa" w:w="623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04 Ingestion &amp; Normalisation Pipeline (stages 1–2) · TD-01 Pipeline Flow · TD-02 Stages 1–2</w:t>
            </w:r>
          </w:p>
        </w:tc>
      </w:tr>
      <w:tr>
        <w:trPr>
          <w:cantSplit/>
          <w:tblHeader w:val="false"/>
        </w:trPr>
        <w:tc>
          <w:tcPr>
            <w:tcW w:type="dxa" w:w="339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Depends on</w:t>
            </w:r>
          </w:p>
        </w:tc>
        <w:tc>
          <w:tcPr>
            <w:tcW w:type="dxa" w:w="623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TS-01, TS-02</w:t>
            </w:r>
          </w:p>
        </w:tc>
      </w:tr>
      <w:tr>
        <w:trPr>
          <w:cantSplit/>
          <w:tblHeader w:val="false"/>
        </w:trPr>
        <w:tc>
          <w:tcPr>
            <w:tcW w:type="dxa" w:w="339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Deployment context</w:t>
            </w:r>
          </w:p>
        </w:tc>
        <w:tc>
          <w:tcPr>
            <w:tcW w:type="dxa" w:w="623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Industry-neutral; regulated-industry controls exposed as configuration</w:t>
            </w:r>
          </w:p>
        </w:tc>
      </w:tr>
      <w:tr>
        <w:trPr>
          <w:cantSplit/>
          <w:tblHeader w:val="false"/>
        </w:trPr>
        <w:tc>
          <w:tcPr>
            <w:tcW w:type="dxa" w:w="339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Document structure</w:t>
            </w:r>
          </w:p>
        </w:tc>
        <w:tc>
          <w:tcPr>
            <w:tcW w:type="dxa" w:w="623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Part A — Design-level specification · Part B — Low-level (build-ready) specification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Contents</w:t>
      </w:r>
    </w:p>
    <w:p>
      <w:pPr>
        <w:spacing w:after="20" w:before="200"/>
      </w:pPr>
      <w:r>
        <w:rPr>
          <w:b/>
          <w:bCs/>
          <w:color w:val="1F3A5F"/>
          <w:sz w:val="20"/>
          <w:szCs w:val="20"/>
        </w:rPr>
        <w:t xml:space="preserve">PART A — DESIGN-LEVEL SPECIFICATION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1. Purpose and Scope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2. Component Decomposition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3. Key Design Decisions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4. Non-Functional Requirements</w:t>
      </w:r>
    </w:p>
    <w:p>
      <w:pPr>
        <w:spacing w:after="20" w:before="200"/>
      </w:pPr>
      <w:r>
        <w:rPr>
          <w:b/>
          <w:bCs/>
          <w:color w:val="1F3A5F"/>
          <w:sz w:val="20"/>
          <w:szCs w:val="20"/>
        </w:rPr>
        <w:t xml:space="preserve">PART B — LOW-LEVEL SPECIFICATION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5. Kafka Configuration</w:t>
      </w:r>
    </w:p>
    <w:p>
      <w:pPr>
        <w:spacing w:after="10"/>
        <w:ind w:left="360"/>
      </w:pPr>
      <w:r>
        <w:rPr>
          <w:color w:val="595959"/>
          <w:sz w:val="17"/>
          <w:szCs w:val="17"/>
        </w:rPr>
        <w:t xml:space="preserve">5.1 Cluster</w:t>
      </w:r>
    </w:p>
    <w:p>
      <w:pPr>
        <w:spacing w:after="10"/>
        <w:ind w:left="360"/>
      </w:pPr>
      <w:r>
        <w:rPr>
          <w:color w:val="595959"/>
          <w:sz w:val="17"/>
          <w:szCs w:val="17"/>
        </w:rPr>
        <w:t xml:space="preserve">5.2 Producer and consumer defaults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producer (gateway, Flink sinks)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Flink transactional sink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consumers</w:t>
      </w:r>
    </w:p>
    <w:p>
      <w:pPr>
        <w:spacing w:after="10"/>
        <w:ind w:left="360"/>
      </w:pPr>
      <w:r>
        <w:rPr>
          <w:color w:val="595959"/>
          <w:sz w:val="17"/>
          <w:szCs w:val="17"/>
        </w:rPr>
        <w:t xml:space="preserve">5.3 Consumer groups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6. Normalised Event Schema (norm.events)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7. Stage 1 — Aggregation Logic</w:t>
      </w:r>
    </w:p>
    <w:p>
      <w:pPr>
        <w:spacing w:after="10"/>
        <w:ind w:left="360"/>
      </w:pPr>
      <w:r>
        <w:rPr>
          <w:color w:val="595959"/>
          <w:sz w:val="17"/>
          <w:szCs w:val="17"/>
        </w:rPr>
        <w:t xml:space="preserve">7.1 Flow</w:t>
      </w:r>
    </w:p>
    <w:p>
      <w:pPr>
        <w:spacing w:after="10"/>
        <w:ind w:left="360"/>
      </w:pPr>
      <w:r>
        <w:rPr>
          <w:color w:val="595959"/>
          <w:sz w:val="17"/>
          <w:szCs w:val="17"/>
        </w:rPr>
        <w:t xml:space="preserve">7.2 Parameters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8. Stage 2 — Normalisation Logic</w:t>
      </w:r>
    </w:p>
    <w:p>
      <w:pPr>
        <w:spacing w:after="10"/>
        <w:ind w:left="360"/>
      </w:pPr>
      <w:r>
        <w:rPr>
          <w:color w:val="595959"/>
          <w:sz w:val="17"/>
          <w:szCs w:val="17"/>
        </w:rPr>
        <w:t xml:space="preserve">8.1 ECS mapping specification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mappings/app.apigw/v3.yaml</w:t>
      </w:r>
    </w:p>
    <w:p>
      <w:pPr>
        <w:spacing w:after="10"/>
        <w:ind w:left="360"/>
      </w:pPr>
      <w:r>
        <w:rPr>
          <w:color w:val="595959"/>
          <w:sz w:val="17"/>
          <w:szCs w:val="17"/>
        </w:rPr>
        <w:t xml:space="preserve">8.2 Timestamp normalisation</w:t>
      </w:r>
    </w:p>
    <w:p>
      <w:pPr>
        <w:spacing w:after="10"/>
        <w:ind w:left="360"/>
      </w:pPr>
      <w:r>
        <w:rPr>
          <w:color w:val="595959"/>
          <w:sz w:val="17"/>
          <w:szCs w:val="17"/>
        </w:rPr>
        <w:t xml:space="preserve">8.3 Severity normalisation (0–100)</w:t>
      </w:r>
    </w:p>
    <w:p>
      <w:pPr>
        <w:spacing w:after="10"/>
        <w:ind w:left="360"/>
      </w:pPr>
      <w:r>
        <w:rPr>
          <w:color w:val="595959"/>
          <w:sz w:val="17"/>
          <w:szCs w:val="17"/>
        </w:rPr>
        <w:t xml:space="preserve">8.4 Entity resolution</w:t>
      </w:r>
    </w:p>
    <w:p>
      <w:pPr>
        <w:spacing w:after="10"/>
        <w:ind w:left="360"/>
      </w:pPr>
      <w:r>
        <w:rPr>
          <w:color w:val="595959"/>
          <w:sz w:val="17"/>
          <w:szCs w:val="17"/>
        </w:rPr>
        <w:t xml:space="preserve">8.5 Reference-data broadcast</w:t>
      </w:r>
    </w:p>
    <w:p>
      <w:pPr>
        <w:spacing w:after="10"/>
        <w:ind w:left="360"/>
      </w:pPr>
      <w:r>
        <w:rPr>
          <w:color w:val="595959"/>
          <w:sz w:val="17"/>
          <w:szCs w:val="17"/>
        </w:rPr>
        <w:t xml:space="preserve">8.6 Enrichment</w:t>
      </w:r>
    </w:p>
    <w:p>
      <w:pPr>
        <w:spacing w:after="10"/>
        <w:ind w:left="360"/>
      </w:pPr>
      <w:r>
        <w:rPr>
          <w:color w:val="595959"/>
          <w:sz w:val="17"/>
          <w:szCs w:val="17"/>
        </w:rPr>
        <w:t xml:space="preserve">8.7 PII pseudonymisation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9. Dead-Letter Handling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10. Failure Modes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11. Self-Observability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12. Security Controls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13. Acceptance Criteria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14. Assumptions and Open Issues</w:t>
      </w:r>
    </w:p>
    <w:p>
      <w:r>
        <w:br w:type="page"/>
      </w:r>
    </w:p>
    <w:p>
      <w:pPr>
        <w:pStyle w:val="Heading1"/>
        <w:pBdr>
          <w:left w:val="single" w:color="1F3A5F" w:sz="24" w:space="6"/>
        </w:pBdr>
        <w:shd w:fill="EAF1F8" w:color="auto" w:val="clear"/>
        <w:spacing w:after="200" w:before="480"/>
      </w:pPr>
      <w:r>
        <w:t xml:space="preserve">PART A — DESIGN-LEVEL SPECIFICATION</w:t>
      </w:r>
    </w:p>
    <w:p>
      <w:pPr>
        <w:pStyle w:val="Heading1"/>
      </w:pPr>
      <w:r>
        <w:t xml:space="preserve">1. Purpose and Scope</w:t>
      </w:r>
    </w:p>
    <w:p>
      <w:pPr>
        <w:spacing w:after="120"/>
      </w:pPr>
      <w:r>
        <w:t xml:space="preserve">This component turns heterogeneous raw telemetry from </w:t>
      </w:r>
      <w:r>
        <w:rPr>
          <w:rFonts w:ascii="Consolas" w:cs="Consolas" w:eastAsia="Consolas" w:hAnsi="Consolas"/>
          <w:color w:val="9B2C2C"/>
          <w:sz w:val="18"/>
          <w:szCs w:val="18"/>
        </w:rPr>
        <w:t xml:space="preserve">raw.&lt;domain&gt;</w:t>
      </w:r>
      <w:r>
        <w:t xml:space="preserve"> into a single, ordered, deduplicated, ECS-normalised and entity-resolved stream on </w:t>
      </w:r>
      <w:r>
        <w:rPr>
          <w:rFonts w:ascii="Consolas" w:cs="Consolas" w:eastAsia="Consolas" w:hAnsi="Consolas"/>
          <w:color w:val="9B2C2C"/>
          <w:sz w:val="18"/>
          <w:szCs w:val="18"/>
        </w:rPr>
        <w:t xml:space="preserve">norm.events</w:t>
      </w:r>
      <w:r>
        <w:t xml:space="preserve">. It covers pipeline stages 1 (Log Aggregation) and 2 (Schema Normalisation) and the Kafka backbone used by all later stages. Feature extraction and the Feature Store (stages 3–4) are in TS-04.</w:t>
      </w:r>
    </w:p>
    <w:p>
      <w:pPr>
        <w:pStyle w:val="Heading1"/>
      </w:pPr>
      <w:r>
        <w:t xml:space="preserve">2. Component Decomposition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5"/>
        <w:gridCol w:w="3386"/>
        <w:gridCol w:w="4127"/>
      </w:tblGrid>
      <w:tr>
        <w:trPr>
          <w:cantSplit/>
          <w:tblHeader/>
        </w:trPr>
        <w:tc>
          <w:tcPr>
            <w:tcW w:type="dxa" w:w="212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Sub-component</w:t>
            </w:r>
          </w:p>
        </w:tc>
        <w:tc>
          <w:tcPr>
            <w:tcW w:type="dxa" w:w="338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412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</w:tr>
      <w:tr>
        <w:trPr>
          <w:cantSplit/>
          <w:tblHeader w:val="false"/>
        </w:trPr>
        <w:tc>
          <w:tcPr>
            <w:tcW w:type="dxa" w:w="212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Kafka backbone</w:t>
            </w:r>
          </w:p>
        </w:tc>
        <w:tc>
          <w:tcPr>
            <w:tcW w:type="dxa" w:w="338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Apache Kafka ≥ 3.7 (KRaft), Cruise Control</w:t>
            </w:r>
          </w:p>
        </w:tc>
        <w:tc>
          <w:tcPr>
            <w:tcW w:type="dxa" w:w="412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Durable transport, partitioning, retention, tiered storage</w:t>
            </w:r>
          </w:p>
        </w:tc>
      </w:tr>
      <w:tr>
        <w:trPr>
          <w:cantSplit/>
          <w:tblHeader w:val="false"/>
        </w:trPr>
        <w:tc>
          <w:tcPr>
            <w:tcW w:type="dxa" w:w="212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Schema Registry</w:t>
            </w:r>
          </w:p>
        </w:tc>
        <w:tc>
          <w:tcPr>
            <w:tcW w:type="dxa" w:w="338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Confluent Schema Registry (or Apicurio)</w:t>
            </w:r>
          </w:p>
        </w:tc>
        <w:tc>
          <w:tcPr>
            <w:tcW w:type="dxa" w:w="412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Avro/Protobuf schema enforcement and evolution</w:t>
            </w:r>
          </w:p>
        </w:tc>
      </w:tr>
      <w:tr>
        <w:trPr>
          <w:cantSplit/>
          <w:tblHeader w:val="false"/>
        </w:trPr>
        <w:tc>
          <w:tcPr>
            <w:tcW w:type="dxa" w:w="212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ingest-aggregate</w:t>
            </w:r>
            <w:r>
              <w:rPr>
                <w:sz w:val="18"/>
                <w:szCs w:val="18"/>
              </w:rPr>
              <w:t xml:space="preserve"> job</w:t>
            </w:r>
          </w:p>
        </w:tc>
        <w:tc>
          <w:tcPr>
            <w:tcW w:type="dxa" w:w="338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Apache Flink ≥ 1.19</w:t>
            </w:r>
          </w:p>
        </w:tc>
        <w:tc>
          <w:tcPr>
            <w:tcW w:type="dxa" w:w="412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Fan-in from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raw.*</w:t>
            </w:r>
            <w:r>
              <w:rPr>
                <w:sz w:val="18"/>
                <w:szCs w:val="18"/>
              </w:rPr>
              <w:t xml:space="preserve">, deduplication, rate limiting, repartition by entity hint</w:t>
            </w:r>
          </w:p>
        </w:tc>
      </w:tr>
      <w:tr>
        <w:trPr>
          <w:cantSplit/>
          <w:tblHeader w:val="false"/>
        </w:trPr>
        <w:tc>
          <w:tcPr>
            <w:tcW w:type="dxa" w:w="212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ingest-normalise</w:t>
            </w:r>
            <w:r>
              <w:rPr>
                <w:sz w:val="18"/>
                <w:szCs w:val="18"/>
              </w:rPr>
              <w:t xml:space="preserve"> job</w:t>
            </w:r>
          </w:p>
        </w:tc>
        <w:tc>
          <w:tcPr>
            <w:tcW w:type="dxa" w:w="338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Apache Flink</w:t>
            </w:r>
          </w:p>
        </w:tc>
        <w:tc>
          <w:tcPr>
            <w:tcW w:type="dxa" w:w="412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ECS mapping, timestamp/severity normalisation, PII pseudonymisation, entity resolution, enrichment</w:t>
            </w:r>
          </w:p>
        </w:tc>
      </w:tr>
      <w:tr>
        <w:trPr>
          <w:cantSplit/>
          <w:tblHeader w:val="false"/>
        </w:trPr>
        <w:tc>
          <w:tcPr>
            <w:tcW w:type="dxa" w:w="212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Reference data broadcaster</w:t>
            </w:r>
          </w:p>
        </w:tc>
        <w:tc>
          <w:tcPr>
            <w:tcW w:type="dxa" w:w="338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Flink broadcast state fed from CMDB, change calendar and TI topics</w:t>
            </w:r>
          </w:p>
        </w:tc>
        <w:tc>
          <w:tcPr>
            <w:tcW w:type="dxa" w:w="412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Distribute CMDB mappings, maintenance windows, deployments, TI indicators to all task slots</w:t>
            </w:r>
          </w:p>
        </w:tc>
      </w:tr>
      <w:tr>
        <w:trPr>
          <w:cantSplit/>
          <w:tblHeader w:val="false"/>
        </w:trPr>
        <w:tc>
          <w:tcPr>
            <w:tcW w:type="dxa" w:w="212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Mapping repository</w:t>
            </w:r>
          </w:p>
        </w:tc>
        <w:tc>
          <w:tcPr>
            <w:tcW w:type="dxa" w:w="338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Git + CI</w:t>
            </w:r>
          </w:p>
        </w:tc>
        <w:tc>
          <w:tcPr>
            <w:tcW w:type="dxa" w:w="412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Versioned per-source ECS mapping specifications</w:t>
            </w:r>
          </w:p>
        </w:tc>
      </w:tr>
      <w:tr>
        <w:trPr>
          <w:cantSplit/>
          <w:tblHeader w:val="false"/>
        </w:trPr>
        <w:tc>
          <w:tcPr>
            <w:tcW w:type="dxa" w:w="212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Dead-letter handler</w:t>
            </w:r>
          </w:p>
        </w:tc>
        <w:tc>
          <w:tcPr>
            <w:tcW w:type="dxa" w:w="338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Kafka topic + triage UI</w:t>
            </w:r>
          </w:p>
        </w:tc>
        <w:tc>
          <w:tcPr>
            <w:tcW w:type="dxa" w:w="412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Quarantine and replay of rejected events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3. Key Design Decisions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45"/>
        <w:gridCol w:w="3645"/>
        <w:gridCol w:w="3248"/>
      </w:tblGrid>
      <w:tr>
        <w:trPr>
          <w:cantSplit/>
          <w:tblHeader/>
        </w:trPr>
        <w:tc>
          <w:tcPr>
            <w:tcW w:type="dxa" w:w="274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364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  <w:tc>
          <w:tcPr>
            <w:tcW w:type="dxa" w:w="324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Alternatives rejected</w:t>
            </w:r>
          </w:p>
        </w:tc>
      </w:tr>
      <w:tr>
        <w:trPr>
          <w:cantSplit/>
          <w:tblHeader w:val="false"/>
        </w:trPr>
        <w:tc>
          <w:tcPr>
            <w:tcW w:type="dxa" w:w="274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Separate topic per domain on ingest</w:t>
            </w:r>
          </w:p>
        </w:tc>
        <w:tc>
          <w:tcPr>
            <w:tcW w:type="dxa" w:w="364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Independent retention, quotas and consumer scaling per domain; noisy domains cannot starve others</w:t>
            </w:r>
          </w:p>
        </w:tc>
        <w:tc>
          <w:tcPr>
            <w:tcW w:type="dxa" w:w="324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Single raw topic (blast radius); topic per source (thousands of topics)</w:t>
            </w:r>
          </w:p>
        </w:tc>
      </w:tr>
      <w:tr>
        <w:trPr>
          <w:cantSplit/>
          <w:tblHeader w:val="false"/>
        </w:trPr>
        <w:tc>
          <w:tcPr>
            <w:tcW w:type="dxa" w:w="274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Repartition by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entity_id</w:t>
            </w:r>
            <w:r>
              <w:rPr>
                <w:sz w:val="18"/>
                <w:szCs w:val="18"/>
              </w:rPr>
              <w:t xml:space="preserve"> after resolution</w:t>
            </w:r>
          </w:p>
        </w:tc>
        <w:tc>
          <w:tcPr>
            <w:tcW w:type="dxa" w:w="364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Guarantees per-entity ordering for windowed features and LSTM sequences</w:t>
            </w:r>
          </w:p>
        </w:tc>
        <w:tc>
          <w:tcPr>
            <w:tcW w:type="dxa" w:w="324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Partition by source host (entity spread across partitions)</w:t>
            </w:r>
          </w:p>
        </w:tc>
      </w:tr>
      <w:tr>
        <w:trPr>
          <w:cantSplit/>
          <w:tblHeader w:val="false"/>
        </w:trPr>
        <w:tc>
          <w:tcPr>
            <w:tcW w:type="dxa" w:w="274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Event-time processing with bounded watermarks</w:t>
            </w:r>
          </w:p>
        </w:tc>
        <w:tc>
          <w:tcPr>
            <w:tcW w:type="dxa" w:w="364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Correct windows despite network delay; late data handled explicitly</w:t>
            </w:r>
          </w:p>
        </w:tc>
        <w:tc>
          <w:tcPr>
            <w:tcW w:type="dxa" w:w="324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Processing time (wrong windows during backlog)</w:t>
            </w:r>
          </w:p>
        </w:tc>
      </w:tr>
      <w:tr>
        <w:trPr>
          <w:cantSplit/>
          <w:tblHeader w:val="false"/>
        </w:trPr>
        <w:tc>
          <w:tcPr>
            <w:tcW w:type="dxa" w:w="274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Broadcast state for reference data</w:t>
            </w:r>
          </w:p>
        </w:tc>
        <w:tc>
          <w:tcPr>
            <w:tcW w:type="dxa" w:w="364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Sub-millisecond lookups without per-event calls to CMDB</w:t>
            </w:r>
          </w:p>
        </w:tc>
        <w:tc>
          <w:tcPr>
            <w:tcW w:type="dxa" w:w="324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Async I/O to CMDB (latency, CMDB load) — retained only as cache-miss fallback</w:t>
            </w:r>
          </w:p>
        </w:tc>
      </w:tr>
      <w:tr>
        <w:trPr>
          <w:cantSplit/>
          <w:tblHeader w:val="false"/>
        </w:trPr>
        <w:tc>
          <w:tcPr>
            <w:tcW w:type="dxa" w:w="274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Exactly-once via Flink checkpoints + Kafka transactions</w:t>
            </w:r>
          </w:p>
        </w:tc>
        <w:tc>
          <w:tcPr>
            <w:tcW w:type="dxa" w:w="364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Prevents duplicate features that would distort volumetric features</w:t>
            </w:r>
          </w:p>
        </w:tc>
        <w:tc>
          <w:tcPr>
            <w:tcW w:type="dxa" w:w="324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At-least-once with downstream dedup (feature skew)</w:t>
            </w:r>
          </w:p>
        </w:tc>
      </w:tr>
      <w:tr>
        <w:trPr>
          <w:cantSplit/>
          <w:tblHeader w:val="false"/>
        </w:trPr>
        <w:tc>
          <w:tcPr>
            <w:tcW w:type="dxa" w:w="274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Mapping-as-code</w:t>
            </w:r>
          </w:p>
        </w:tc>
        <w:tc>
          <w:tcPr>
            <w:tcW w:type="dxa" w:w="364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Reviewable, testable, versioned alongside pipeline</w:t>
            </w:r>
          </w:p>
        </w:tc>
        <w:tc>
          <w:tcPr>
            <w:tcW w:type="dxa" w:w="324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UI-configured parsers (unreviewable drift)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4. Non-Functional Requirements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4"/>
        <w:gridCol w:w="6994"/>
      </w:tblGrid>
      <w:tr>
        <w:trPr>
          <w:cantSplit/>
          <w:tblHeader/>
        </w:trPr>
        <w:tc>
          <w:tcPr>
            <w:tcW w:type="dxa" w:w="264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699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</w:tr>
      <w:tr>
        <w:trPr>
          <w:cantSplit/>
          <w:tblHeader w:val="false"/>
        </w:trPr>
        <w:tc>
          <w:tcPr>
            <w:tcW w:type="dxa" w:w="264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TS03-NFR-001</w:t>
            </w:r>
          </w:p>
        </w:tc>
        <w:tc>
          <w:tcPr>
            <w:tcW w:type="dxa" w:w="699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Sustain 500k eps steady, 2M eps burst for 15 min</w:t>
            </w:r>
          </w:p>
        </w:tc>
      </w:tr>
      <w:tr>
        <w:trPr>
          <w:cantSplit/>
          <w:tblHeader w:val="false"/>
        </w:trPr>
        <w:tc>
          <w:tcPr>
            <w:tcW w:type="dxa" w:w="264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TS03-NFR-002</w:t>
            </w:r>
          </w:p>
        </w:tc>
        <w:tc>
          <w:tcPr>
            <w:tcW w:type="dxa" w:w="699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Stage 1+2 latency (raw produce → norm produce) ≤ 5 s P99 at steady state</w:t>
            </w:r>
          </w:p>
        </w:tc>
      </w:tr>
      <w:tr>
        <w:trPr>
          <w:cantSplit/>
          <w:tblHeader w:val="false"/>
        </w:trPr>
        <w:tc>
          <w:tcPr>
            <w:tcW w:type="dxa" w:w="264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TS03-NFR-003</w:t>
            </w:r>
          </w:p>
        </w:tc>
        <w:tc>
          <w:tcPr>
            <w:tcW w:type="dxa" w:w="699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No acknowledged-event loss on single broker, single TaskManager or single AZ failure</w:t>
            </w:r>
          </w:p>
        </w:tc>
      </w:tr>
      <w:tr>
        <w:trPr>
          <w:cantSplit/>
          <w:tblHeader w:val="false"/>
        </w:trPr>
        <w:tc>
          <w:tcPr>
            <w:tcW w:type="dxa" w:w="264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TS03-NFR-004</w:t>
            </w:r>
          </w:p>
        </w:tc>
        <w:tc>
          <w:tcPr>
            <w:tcW w:type="dxa" w:w="699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Entity resolution success ≥ 95% of events (unresolved events still flow, tagged)</w:t>
            </w:r>
          </w:p>
        </w:tc>
      </w:tr>
      <w:tr>
        <w:trPr>
          <w:cantSplit/>
          <w:tblHeader w:val="false"/>
        </w:trPr>
        <w:tc>
          <w:tcPr>
            <w:tcW w:type="dxa" w:w="264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TS03-NFR-005</w:t>
            </w:r>
          </w:p>
        </w:tc>
        <w:tc>
          <w:tcPr>
            <w:tcW w:type="dxa" w:w="699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Checkpoint duration ≤ 30 s P95; checkpoint interval 60 s</w:t>
            </w:r>
          </w:p>
        </w:tc>
      </w:tr>
    </w:tbl>
    <w:p>
      <w:pPr>
        <w:spacing w:after="80"/>
      </w:pPr>
    </w:p>
    <w:p>
      <w:pPr>
        <w:pStyle w:val="Heading1"/>
        <w:pBdr>
          <w:left w:val="single" w:color="1F3A5F" w:sz="24" w:space="6"/>
        </w:pBdr>
        <w:shd w:fill="EAF1F8" w:color="auto" w:val="clear"/>
        <w:spacing w:after="200" w:before="480"/>
      </w:pPr>
      <w:r>
        <w:t xml:space="preserve">PART B — LOW-LEVEL SPECIFICATION</w:t>
      </w:r>
    </w:p>
    <w:p>
      <w:pPr>
        <w:pStyle w:val="Heading1"/>
      </w:pPr>
      <w:r>
        <w:t xml:space="preserve">5. Kafka Configuration</w:t>
      </w:r>
    </w:p>
    <w:p>
      <w:pPr>
        <w:pStyle w:val="Heading2"/>
      </w:pPr>
      <w:r>
        <w:t xml:space="preserve">5.1 Cluster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5"/>
        <w:gridCol w:w="3061"/>
        <w:gridCol w:w="3422"/>
      </w:tblGrid>
      <w:tr>
        <w:trPr>
          <w:cantSplit/>
          <w:tblHeader/>
        </w:trPr>
        <w:tc>
          <w:tcPr>
            <w:tcW w:type="dxa" w:w="315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306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342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rPr>
          <w:cantSplit/>
          <w:tblHeader w:val="false"/>
        </w:trPr>
        <w:tc>
          <w:tcPr>
            <w:tcW w:type="dxa" w:w="315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Brokers</w:t>
            </w:r>
          </w:p>
        </w:tc>
        <w:tc>
          <w:tcPr>
            <w:tcW w:type="dxa" w:w="306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6 (2 per AZ) baseline; 3 minimum</w:t>
            </w:r>
          </w:p>
        </w:tc>
        <w:tc>
          <w:tcPr>
            <w:tcW w:type="dxa" w:w="342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16 vCPU / 64 GiB / NVMe each</w:t>
            </w:r>
          </w:p>
        </w:tc>
      </w:tr>
      <w:tr>
        <w:trPr>
          <w:cantSplit/>
          <w:tblHeader w:val="false"/>
        </w:trPr>
        <w:tc>
          <w:tcPr>
            <w:tcW w:type="dxa" w:w="315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default.replication.factor</w:t>
            </w:r>
          </w:p>
        </w:tc>
        <w:tc>
          <w:tcPr>
            <w:tcW w:type="dxa" w:w="306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342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Rack-aware (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broker.rack</w:t>
            </w:r>
            <w:r>
              <w:rPr>
                <w:sz w:val="18"/>
                <w:szCs w:val="18"/>
              </w:rPr>
              <w:t xml:space="preserve"> = AZ)</w:t>
            </w:r>
          </w:p>
        </w:tc>
      </w:tr>
      <w:tr>
        <w:trPr>
          <w:cantSplit/>
          <w:tblHeader w:val="false"/>
        </w:trPr>
        <w:tc>
          <w:tcPr>
            <w:tcW w:type="dxa" w:w="315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min.insync.replicas</w:t>
            </w:r>
          </w:p>
        </w:tc>
        <w:tc>
          <w:tcPr>
            <w:tcW w:type="dxa" w:w="306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342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With producer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acks=all</w:t>
            </w:r>
          </w:p>
        </w:tc>
      </w:tr>
      <w:tr>
        <w:trPr>
          <w:cantSplit/>
          <w:tblHeader w:val="false"/>
        </w:trPr>
        <w:tc>
          <w:tcPr>
            <w:tcW w:type="dxa" w:w="315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unclean.leader.election.enable</w:t>
            </w:r>
          </w:p>
        </w:tc>
        <w:tc>
          <w:tcPr>
            <w:tcW w:type="dxa" w:w="306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false</w:t>
            </w:r>
          </w:p>
        </w:tc>
        <w:tc>
          <w:tcPr>
            <w:tcW w:type="dxa" w:w="342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Durability over availability</w:t>
            </w:r>
          </w:p>
        </w:tc>
      </w:tr>
      <w:tr>
        <w:trPr>
          <w:cantSplit/>
          <w:tblHeader w:val="false"/>
        </w:trPr>
        <w:tc>
          <w:tcPr>
            <w:tcW w:type="dxa" w:w="315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compression.type</w:t>
            </w:r>
          </w:p>
        </w:tc>
        <w:tc>
          <w:tcPr>
            <w:tcW w:type="dxa" w:w="306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producer (zstd)</w:t>
            </w:r>
          </w:p>
        </w:tc>
        <w:tc>
          <w:tcPr>
            <w:tcW w:type="dxa" w:w="342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</w:p>
        </w:tc>
      </w:tr>
      <w:tr>
        <w:trPr>
          <w:cantSplit/>
          <w:tblHeader w:val="false"/>
        </w:trPr>
        <w:tc>
          <w:tcPr>
            <w:tcW w:type="dxa" w:w="315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remote.log.storage.system.enable</w:t>
            </w:r>
          </w:p>
        </w:tc>
        <w:tc>
          <w:tcPr>
            <w:tcW w:type="dxa" w:w="306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true</w:t>
            </w:r>
          </w:p>
        </w:tc>
        <w:tc>
          <w:tcPr>
            <w:tcW w:type="dxa" w:w="342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Tiered storage to object store</w:t>
            </w:r>
          </w:p>
        </w:tc>
      </w:tr>
      <w:tr>
        <w:trPr>
          <w:cantSplit/>
          <w:tblHeader w:val="false"/>
        </w:trPr>
        <w:tc>
          <w:tcPr>
            <w:tcW w:type="dxa" w:w="315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local.retention.ms</w:t>
            </w:r>
            <w:r>
              <w:rPr>
                <w:sz w:val="18"/>
                <w:szCs w:val="18"/>
              </w:rPr>
              <w:t xml:space="preserve"> (raw topics)</w:t>
            </w:r>
          </w:p>
        </w:tc>
        <w:tc>
          <w:tcPr>
            <w:tcW w:type="dxa" w:w="306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43200000 (12 h)</w:t>
            </w:r>
          </w:p>
        </w:tc>
        <w:tc>
          <w:tcPr>
            <w:tcW w:type="dxa" w:w="342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Older segments in object storage</w:t>
            </w:r>
          </w:p>
        </w:tc>
      </w:tr>
      <w:tr>
        <w:trPr>
          <w:cantSplit/>
          <w:tblHeader w:val="false"/>
        </w:trPr>
        <w:tc>
          <w:tcPr>
            <w:tcW w:type="dxa" w:w="315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retention.ms</w:t>
            </w:r>
            <w:r>
              <w:rPr>
                <w:sz w:val="18"/>
                <w:szCs w:val="18"/>
              </w:rPr>
              <w:t xml:space="preserve"> (raw topics)</w:t>
            </w:r>
          </w:p>
        </w:tc>
        <w:tc>
          <w:tcPr>
            <w:tcW w:type="dxa" w:w="306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259200000 (72 h)</w:t>
            </w:r>
          </w:p>
        </w:tc>
        <w:tc>
          <w:tcPr>
            <w:tcW w:type="dxa" w:w="342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Replay window for retraining/post-mortem</w:t>
            </w:r>
          </w:p>
        </w:tc>
      </w:tr>
      <w:tr>
        <w:trPr>
          <w:cantSplit/>
          <w:tblHeader w:val="false"/>
        </w:trPr>
        <w:tc>
          <w:tcPr>
            <w:tcW w:type="dxa" w:w="315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num.partitions</w:t>
            </w:r>
            <w:r>
              <w:rPr>
                <w:sz w:val="18"/>
                <w:szCs w:val="18"/>
              </w:rPr>
              <w:t xml:space="preserve"> default</w:t>
            </w:r>
          </w:p>
        </w:tc>
        <w:tc>
          <w:tcPr>
            <w:tcW w:type="dxa" w:w="306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2× planned requirement</w:t>
            </w:r>
          </w:p>
        </w:tc>
        <w:tc>
          <w:tcPr>
            <w:tcW w:type="dxa" w:w="342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Headroom without reassignment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5.2 Producer and consumer defaults</w:t>
      </w:r>
    </w:p>
    <w:p>
      <w:pPr>
        <w:pBdr>
          <w:top w:val="single" w:color="F3F4F6" w:sz="2" w:space="2"/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# producer (gateway, Flink sinks)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acks=all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enable.idempotence=true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max.in.flight.requests.per.connection=5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compression.type=zstd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linger.ms=20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batch.size=262144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delivery.timeout.ms=120000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# Flink transactional sink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transaction.timeout.ms=900000  # &gt; checkpoint interval + max checkpoint duration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# consumers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isolation.level=read_committed  # on norm.events and downstream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auto.offset.reset=earliest</w:t>
      </w:r>
    </w:p>
    <w:p>
      <w:pPr>
        <w:pBdr>
          <w:left w:val="single" w:color="2E75B6" w:sz="12" w:space="6"/>
        </w:pBdr>
        <w:shd w:fill="F3F4F6" w:color="auto" w:val="clear"/>
        <w:spacing w:after="16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max.poll.records=2000</w:t>
      </w:r>
    </w:p>
    <w:p>
      <w:pPr>
        <w:pStyle w:val="Heading2"/>
      </w:pPr>
      <w:r>
        <w:t xml:space="preserve">5.3 Consumer groups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1"/>
        <w:gridCol w:w="2369"/>
        <w:gridCol w:w="4258"/>
      </w:tblGrid>
      <w:tr>
        <w:trPr>
          <w:cantSplit/>
          <w:tblHeader/>
        </w:trPr>
        <w:tc>
          <w:tcPr>
            <w:tcW w:type="dxa" w:w="301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Group</w:t>
            </w:r>
          </w:p>
        </w:tc>
        <w:tc>
          <w:tcPr>
            <w:tcW w:type="dxa" w:w="236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Topics</w:t>
            </w:r>
          </w:p>
        </w:tc>
        <w:tc>
          <w:tcPr>
            <w:tcW w:type="dxa" w:w="425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rPr>
          <w:cantSplit/>
          <w:tblHeader w:val="false"/>
        </w:trPr>
        <w:tc>
          <w:tcPr>
            <w:tcW w:type="dxa" w:w="301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cg-ingest-aggregate</w:t>
            </w:r>
          </w:p>
        </w:tc>
        <w:tc>
          <w:tcPr>
            <w:tcW w:type="dxa" w:w="236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raw.*</w:t>
            </w:r>
          </w:p>
        </w:tc>
        <w:tc>
          <w:tcPr>
            <w:tcW w:type="dxa" w:w="425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Stage 1</w:t>
            </w:r>
          </w:p>
        </w:tc>
      </w:tr>
      <w:tr>
        <w:trPr>
          <w:cantSplit/>
          <w:tblHeader w:val="false"/>
        </w:trPr>
        <w:tc>
          <w:tcPr>
            <w:tcW w:type="dxa" w:w="301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cg-feature-extract</w:t>
            </w:r>
          </w:p>
        </w:tc>
        <w:tc>
          <w:tcPr>
            <w:tcW w:type="dxa" w:w="236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norm.events</w:t>
            </w:r>
          </w:p>
        </w:tc>
        <w:tc>
          <w:tcPr>
            <w:tcW w:type="dxa" w:w="425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Stage 3 (TS-04)</w:t>
            </w:r>
          </w:p>
        </w:tc>
      </w:tr>
      <w:tr>
        <w:trPr>
          <w:cantSplit/>
          <w:tblHeader w:val="false"/>
        </w:trPr>
        <w:tc>
          <w:tcPr>
            <w:tcW w:type="dxa" w:w="301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cg-logstore-sink</w:t>
            </w:r>
          </w:p>
        </w:tc>
        <w:tc>
          <w:tcPr>
            <w:tcW w:type="dxa" w:w="236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norm.events</w:t>
            </w:r>
          </w:p>
        </w:tc>
        <w:tc>
          <w:tcPr>
            <w:tcW w:type="dxa" w:w="425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OpenSearch indexing</w:t>
            </w:r>
          </w:p>
        </w:tc>
      </w:tr>
      <w:tr>
        <w:trPr>
          <w:cantSplit/>
          <w:tblHeader w:val="false"/>
        </w:trPr>
        <w:tc>
          <w:tcPr>
            <w:tcW w:type="dxa" w:w="301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cg-archive</w:t>
            </w:r>
          </w:p>
        </w:tc>
        <w:tc>
          <w:tcPr>
            <w:tcW w:type="dxa" w:w="236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raw.*</w:t>
            </w:r>
          </w:p>
        </w:tc>
        <w:tc>
          <w:tcPr>
            <w:tcW w:type="dxa" w:w="425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Object-storage archive for training replay</w:t>
            </w:r>
          </w:p>
        </w:tc>
      </w:tr>
      <w:tr>
        <w:trPr>
          <w:cantSplit/>
          <w:tblHeader w:val="false"/>
        </w:trPr>
        <w:tc>
          <w:tcPr>
            <w:tcW w:type="dxa" w:w="301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cg-audit</w:t>
            </w:r>
          </w:p>
        </w:tc>
        <w:tc>
          <w:tcPr>
            <w:tcW w:type="dxa" w:w="236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audit.trail</w:t>
            </w:r>
          </w:p>
        </w:tc>
        <w:tc>
          <w:tcPr>
            <w:tcW w:type="dxa" w:w="425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Immutable audit sink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6. Normalised Event Schema (norm.events)</w:t>
      </w:r>
    </w:p>
    <w:p>
      <w:pPr>
        <w:spacing w:after="120"/>
      </w:pPr>
      <w:r>
        <w:t xml:space="preserve">ECS-aligned Avro schema. Only commonly used fields are shown; source-specific fields are placed under </w:t>
      </w:r>
      <w:r>
        <w:rPr>
          <w:rFonts w:ascii="Consolas" w:cs="Consolas" w:eastAsia="Consolas" w:hAnsi="Consolas"/>
          <w:color w:val="9B2C2C"/>
          <w:sz w:val="18"/>
          <w:szCs w:val="18"/>
        </w:rPr>
        <w:t xml:space="preserve">labels</w:t>
      </w:r>
      <w:r>
        <w:t xml:space="preserve"> (string map) or </w:t>
      </w:r>
      <w:r>
        <w:rPr>
          <w:rFonts w:ascii="Consolas" w:cs="Consolas" w:eastAsia="Consolas" w:hAnsi="Consolas"/>
          <w:color w:val="9B2C2C"/>
          <w:sz w:val="18"/>
          <w:szCs w:val="18"/>
        </w:rPr>
        <w:t xml:space="preserve">extra</w:t>
      </w:r>
      <w:r>
        <w:t xml:space="preserve"> (typed per </w:t>
      </w:r>
      <w:r>
        <w:rPr>
          <w:rFonts w:ascii="Consolas" w:cs="Consolas" w:eastAsia="Consolas" w:hAnsi="Consolas"/>
          <w:color w:val="9B2C2C"/>
          <w:sz w:val="18"/>
          <w:szCs w:val="18"/>
        </w:rPr>
        <w:t xml:space="preserve">source.type</w:t>
      </w:r>
      <w:r>
        <w:t xml:space="preserve"> sub-record).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97"/>
        <w:gridCol w:w="2596"/>
        <w:gridCol w:w="887"/>
        <w:gridCol w:w="3158"/>
      </w:tblGrid>
      <w:tr>
        <w:trPr>
          <w:cantSplit/>
          <w:tblHeader/>
        </w:trPr>
        <w:tc>
          <w:tcPr>
            <w:tcW w:type="dxa" w:w="299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59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8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</w:t>
            </w:r>
          </w:p>
        </w:tc>
        <w:tc>
          <w:tcPr>
            <w:tcW w:type="dxa" w:w="315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  <w:tblHeader w:val="false"/>
        </w:trPr>
        <w:tc>
          <w:tcPr>
            <w:tcW w:type="dxa" w:w="299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event.id</w:t>
            </w:r>
          </w:p>
        </w:tc>
        <w:tc>
          <w:tcPr>
            <w:tcW w:type="dxa" w:w="259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string (UUIDv7)</w:t>
            </w:r>
          </w:p>
        </w:tc>
        <w:tc>
          <w:tcPr>
            <w:tcW w:type="dxa" w:w="88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Y</w:t>
            </w:r>
          </w:p>
        </w:tc>
        <w:tc>
          <w:tcPr>
            <w:tcW w:type="dxa" w:w="315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Assigned at stage 2</w:t>
            </w:r>
          </w:p>
        </w:tc>
      </w:tr>
      <w:tr>
        <w:trPr>
          <w:cantSplit/>
          <w:tblHeader w:val="false"/>
        </w:trPr>
        <w:tc>
          <w:tcPr>
            <w:tcW w:type="dxa" w:w="299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@timestamp</w:t>
            </w:r>
          </w:p>
        </w:tc>
        <w:tc>
          <w:tcPr>
            <w:tcW w:type="dxa" w:w="259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long (epoch ms, UTC)</w:t>
            </w:r>
          </w:p>
        </w:tc>
        <w:tc>
          <w:tcPr>
            <w:tcW w:type="dxa" w:w="88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Y</w:t>
            </w:r>
          </w:p>
        </w:tc>
        <w:tc>
          <w:tcPr>
            <w:tcW w:type="dxa" w:w="315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Event time from source, corrected for known skew</w:t>
            </w:r>
          </w:p>
        </w:tc>
      </w:tr>
      <w:tr>
        <w:trPr>
          <w:cantSplit/>
          <w:tblHeader w:val="false"/>
        </w:trPr>
        <w:tc>
          <w:tcPr>
            <w:tcW w:type="dxa" w:w="299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event.ingested</w:t>
            </w:r>
          </w:p>
        </w:tc>
        <w:tc>
          <w:tcPr>
            <w:tcW w:type="dxa" w:w="259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long</w:t>
            </w:r>
          </w:p>
        </w:tc>
        <w:tc>
          <w:tcPr>
            <w:tcW w:type="dxa" w:w="88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Y</w:t>
            </w:r>
          </w:p>
        </w:tc>
        <w:tc>
          <w:tcPr>
            <w:tcW w:type="dxa" w:w="315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Stage 2 processing time</w:t>
            </w:r>
          </w:p>
        </w:tc>
      </w:tr>
      <w:tr>
        <w:trPr>
          <w:cantSplit/>
          <w:tblHeader w:val="false"/>
        </w:trPr>
        <w:tc>
          <w:tcPr>
            <w:tcW w:type="dxa" w:w="299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event.kind</w:t>
            </w:r>
          </w:p>
        </w:tc>
        <w:tc>
          <w:tcPr>
            <w:tcW w:type="dxa" w:w="259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enum: event, metric, alert, state, trace_summary</w:t>
            </w:r>
          </w:p>
        </w:tc>
        <w:tc>
          <w:tcPr>
            <w:tcW w:type="dxa" w:w="88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Y</w:t>
            </w:r>
          </w:p>
        </w:tc>
        <w:tc>
          <w:tcPr>
            <w:tcW w:type="dxa" w:w="315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</w:p>
        </w:tc>
      </w:tr>
      <w:tr>
        <w:trPr>
          <w:cantSplit/>
          <w:tblHeader w:val="false"/>
        </w:trPr>
        <w:tc>
          <w:tcPr>
            <w:tcW w:type="dxa" w:w="299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event.category</w:t>
            </w:r>
          </w:p>
        </w:tc>
        <w:tc>
          <w:tcPr>
            <w:tcW w:type="dxa" w:w="259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array&lt;string&gt;</w:t>
            </w:r>
          </w:p>
        </w:tc>
        <w:tc>
          <w:tcPr>
            <w:tcW w:type="dxa" w:w="88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Y</w:t>
            </w:r>
          </w:p>
        </w:tc>
        <w:tc>
          <w:tcPr>
            <w:tcW w:type="dxa" w:w="315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ECS categories (network, authentication, database, host, web, process…)</w:t>
            </w:r>
          </w:p>
        </w:tc>
      </w:tr>
      <w:tr>
        <w:trPr>
          <w:cantSplit/>
          <w:tblHeader w:val="false"/>
        </w:trPr>
        <w:tc>
          <w:tcPr>
            <w:tcW w:type="dxa" w:w="299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event.type</w:t>
            </w:r>
          </w:p>
        </w:tc>
        <w:tc>
          <w:tcPr>
            <w:tcW w:type="dxa" w:w="259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array&lt;string&gt;</w:t>
            </w:r>
          </w:p>
        </w:tc>
        <w:tc>
          <w:tcPr>
            <w:tcW w:type="dxa" w:w="88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N</w:t>
            </w:r>
          </w:p>
        </w:tc>
        <w:tc>
          <w:tcPr>
            <w:tcW w:type="dxa" w:w="315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ECS types (start, end, error, denied, change…)</w:t>
            </w:r>
          </w:p>
        </w:tc>
      </w:tr>
      <w:tr>
        <w:trPr>
          <w:cantSplit/>
          <w:tblHeader w:val="false"/>
        </w:trPr>
        <w:tc>
          <w:tcPr>
            <w:tcW w:type="dxa" w:w="299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event.outcome</w:t>
            </w:r>
          </w:p>
        </w:tc>
        <w:tc>
          <w:tcPr>
            <w:tcW w:type="dxa" w:w="259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enum: success, failure, unknown</w:t>
            </w:r>
          </w:p>
        </w:tc>
        <w:tc>
          <w:tcPr>
            <w:tcW w:type="dxa" w:w="88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N</w:t>
            </w:r>
          </w:p>
        </w:tc>
        <w:tc>
          <w:tcPr>
            <w:tcW w:type="dxa" w:w="315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</w:p>
        </w:tc>
      </w:tr>
      <w:tr>
        <w:trPr>
          <w:cantSplit/>
          <w:tblHeader w:val="false"/>
        </w:trPr>
        <w:tc>
          <w:tcPr>
            <w:tcW w:type="dxa" w:w="299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event.severity</w:t>
            </w:r>
          </w:p>
        </w:tc>
        <w:tc>
          <w:tcPr>
            <w:tcW w:type="dxa" w:w="259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int 0–100</w:t>
            </w:r>
          </w:p>
        </w:tc>
        <w:tc>
          <w:tcPr>
            <w:tcW w:type="dxa" w:w="88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Y</w:t>
            </w:r>
          </w:p>
        </w:tc>
        <w:tc>
          <w:tcPr>
            <w:tcW w:type="dxa" w:w="315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Normalised severity (Section 8.3)</w:t>
            </w:r>
          </w:p>
        </w:tc>
      </w:tr>
      <w:tr>
        <w:trPr>
          <w:cantSplit/>
          <w:tblHeader w:val="false"/>
        </w:trPr>
        <w:tc>
          <w:tcPr>
            <w:tcW w:type="dxa" w:w="299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event.dataset</w:t>
            </w:r>
          </w:p>
        </w:tc>
        <w:tc>
          <w:tcPr>
            <w:tcW w:type="dxa" w:w="259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88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Y</w:t>
            </w:r>
          </w:p>
        </w:tc>
        <w:tc>
          <w:tcPr>
            <w:tcW w:type="dxa" w:w="315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=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source.type</w:t>
            </w:r>
          </w:p>
        </w:tc>
      </w:tr>
      <w:tr>
        <w:trPr>
          <w:cantSplit/>
          <w:tblHeader w:val="false"/>
        </w:trPr>
        <w:tc>
          <w:tcPr>
            <w:tcW w:type="dxa" w:w="299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event.hash</w:t>
            </w:r>
          </w:p>
        </w:tc>
        <w:tc>
          <w:tcPr>
            <w:tcW w:type="dxa" w:w="259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string (xxh3-128 hex)</w:t>
            </w:r>
          </w:p>
        </w:tc>
        <w:tc>
          <w:tcPr>
            <w:tcW w:type="dxa" w:w="88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Y</w:t>
            </w:r>
          </w:p>
        </w:tc>
        <w:tc>
          <w:tcPr>
            <w:tcW w:type="dxa" w:w="315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Dedup content hash</w:t>
            </w:r>
          </w:p>
        </w:tc>
      </w:tr>
      <w:tr>
        <w:trPr>
          <w:cantSplit/>
          <w:tblHeader w:val="false"/>
        </w:trPr>
        <w:tc>
          <w:tcPr>
            <w:tcW w:type="dxa" w:w="299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entity.id</w:t>
            </w:r>
          </w:p>
        </w:tc>
        <w:tc>
          <w:tcPr>
            <w:tcW w:type="dxa" w:w="259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88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Y</w:t>
            </w:r>
          </w:p>
        </w:tc>
        <w:tc>
          <w:tcPr>
            <w:tcW w:type="dxa" w:w="315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&lt;ci_class&gt;:&lt;cmdb_ci_id&gt;</w:t>
            </w:r>
            <w:r>
              <w:rPr>
                <w:sz w:val="18"/>
                <w:szCs w:val="18"/>
              </w:rPr>
              <w:t xml:space="preserve"> or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unresolved:&lt;hint&gt;</w:t>
            </w:r>
          </w:p>
        </w:tc>
      </w:tr>
      <w:tr>
        <w:trPr>
          <w:cantSplit/>
          <w:tblHeader w:val="false"/>
        </w:trPr>
        <w:tc>
          <w:tcPr>
            <w:tcW w:type="dxa" w:w="299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entity.class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entity.tier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entity.criticality</w:t>
            </w:r>
          </w:p>
        </w:tc>
        <w:tc>
          <w:tcPr>
            <w:tcW w:type="dxa" w:w="259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string / int / int</w:t>
            </w:r>
          </w:p>
        </w:tc>
        <w:tc>
          <w:tcPr>
            <w:tcW w:type="dxa" w:w="88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Y</w:t>
            </w:r>
          </w:p>
        </w:tc>
        <w:tc>
          <w:tcPr>
            <w:tcW w:type="dxa" w:w="315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From CMDB</w:t>
            </w:r>
          </w:p>
        </w:tc>
      </w:tr>
      <w:tr>
        <w:trPr>
          <w:cantSplit/>
          <w:tblHeader w:val="false"/>
        </w:trPr>
        <w:tc>
          <w:tcPr>
            <w:tcW w:type="dxa" w:w="299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service.name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service.owner_team</w:t>
            </w:r>
          </w:p>
        </w:tc>
        <w:tc>
          <w:tcPr>
            <w:tcW w:type="dxa" w:w="259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88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N</w:t>
            </w:r>
          </w:p>
        </w:tc>
        <w:tc>
          <w:tcPr>
            <w:tcW w:type="dxa" w:w="315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Business service and owner</w:t>
            </w:r>
          </w:p>
        </w:tc>
      </w:tr>
      <w:tr>
        <w:trPr>
          <w:cantSplit/>
          <w:tblHeader w:val="false"/>
        </w:trPr>
        <w:tc>
          <w:tcPr>
            <w:tcW w:type="dxa" w:w="299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host.name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host.ip</w:t>
            </w:r>
          </w:p>
        </w:tc>
        <w:tc>
          <w:tcPr>
            <w:tcW w:type="dxa" w:w="259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string / array</w:t>
            </w:r>
          </w:p>
        </w:tc>
        <w:tc>
          <w:tcPr>
            <w:tcW w:type="dxa" w:w="88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N</w:t>
            </w:r>
          </w:p>
        </w:tc>
        <w:tc>
          <w:tcPr>
            <w:tcW w:type="dxa" w:w="315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</w:p>
        </w:tc>
      </w:tr>
      <w:tr>
        <w:trPr>
          <w:cantSplit/>
          <w:tblHeader w:val="false"/>
        </w:trPr>
        <w:tc>
          <w:tcPr>
            <w:tcW w:type="dxa" w:w="299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source.ip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destination.ip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.port</w:t>
            </w:r>
          </w:p>
        </w:tc>
        <w:tc>
          <w:tcPr>
            <w:tcW w:type="dxa" w:w="259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string / int</w:t>
            </w:r>
          </w:p>
        </w:tc>
        <w:tc>
          <w:tcPr>
            <w:tcW w:type="dxa" w:w="88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N</w:t>
            </w:r>
          </w:p>
        </w:tc>
        <w:tc>
          <w:tcPr>
            <w:tcW w:type="dxa" w:w="315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Network and security events</w:t>
            </w:r>
          </w:p>
        </w:tc>
      </w:tr>
      <w:tr>
        <w:trPr>
          <w:cantSplit/>
          <w:tblHeader w:val="false"/>
        </w:trPr>
        <w:tc>
          <w:tcPr>
            <w:tcW w:type="dxa" w:w="299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user.id_pseudo</w:t>
            </w:r>
          </w:p>
        </w:tc>
        <w:tc>
          <w:tcPr>
            <w:tcW w:type="dxa" w:w="259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88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N</w:t>
            </w:r>
          </w:p>
        </w:tc>
        <w:tc>
          <w:tcPr>
            <w:tcW w:type="dxa" w:w="315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HMAC-SHA256 pseudonym; raw value never persisted downstream</w:t>
            </w:r>
          </w:p>
        </w:tc>
      </w:tr>
      <w:tr>
        <w:trPr>
          <w:cantSplit/>
          <w:tblHeader w:val="false"/>
        </w:trPr>
        <w:tc>
          <w:tcPr>
            <w:tcW w:type="dxa" w:w="299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http.response.status_code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url.path_template</w:t>
            </w:r>
          </w:p>
        </w:tc>
        <w:tc>
          <w:tcPr>
            <w:tcW w:type="dxa" w:w="259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int / string</w:t>
            </w:r>
          </w:p>
        </w:tc>
        <w:tc>
          <w:tcPr>
            <w:tcW w:type="dxa" w:w="88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N</w:t>
            </w:r>
          </w:p>
        </w:tc>
        <w:tc>
          <w:tcPr>
            <w:tcW w:type="dxa" w:w="315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Templated path, no query string</w:t>
            </w:r>
          </w:p>
        </w:tc>
      </w:tr>
      <w:tr>
        <w:trPr>
          <w:cantSplit/>
          <w:tblHeader w:val="false"/>
        </w:trPr>
        <w:tc>
          <w:tcPr>
            <w:tcW w:type="dxa" w:w="299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metric.name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metric.value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metric.unit</w:t>
            </w:r>
          </w:p>
        </w:tc>
        <w:tc>
          <w:tcPr>
            <w:tcW w:type="dxa" w:w="259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string / double / string</w:t>
            </w:r>
          </w:p>
        </w:tc>
        <w:tc>
          <w:tcPr>
            <w:tcW w:type="dxa" w:w="88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N</w:t>
            </w:r>
          </w:p>
        </w:tc>
        <w:tc>
          <w:tcPr>
            <w:tcW w:type="dxa" w:w="315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For metric events</w:t>
            </w:r>
          </w:p>
        </w:tc>
      </w:tr>
      <w:tr>
        <w:trPr>
          <w:cantSplit/>
          <w:tblHeader w:val="false"/>
        </w:trPr>
        <w:tc>
          <w:tcPr>
            <w:tcW w:type="dxa" w:w="299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trace.id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span.id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span.duration_us</w:t>
            </w:r>
          </w:p>
        </w:tc>
        <w:tc>
          <w:tcPr>
            <w:tcW w:type="dxa" w:w="259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string / long</w:t>
            </w:r>
          </w:p>
        </w:tc>
        <w:tc>
          <w:tcPr>
            <w:tcW w:type="dxa" w:w="88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N</w:t>
            </w:r>
          </w:p>
        </w:tc>
        <w:tc>
          <w:tcPr>
            <w:tcW w:type="dxa" w:w="315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Trace summaries</w:t>
            </w:r>
          </w:p>
        </w:tc>
      </w:tr>
      <w:tr>
        <w:trPr>
          <w:cantSplit/>
          <w:tblHeader w:val="false"/>
        </w:trPr>
        <w:tc>
          <w:tcPr>
            <w:tcW w:type="dxa" w:w="299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error.type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error.message_template</w:t>
            </w:r>
          </w:p>
        </w:tc>
        <w:tc>
          <w:tcPr>
            <w:tcW w:type="dxa" w:w="259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88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N</w:t>
            </w:r>
          </w:p>
        </w:tc>
        <w:tc>
          <w:tcPr>
            <w:tcW w:type="dxa" w:w="315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Message reduced to template (Drain3)</w:t>
            </w:r>
          </w:p>
        </w:tc>
      </w:tr>
      <w:tr>
        <w:trPr>
          <w:cantSplit/>
          <w:tblHeader w:val="false"/>
        </w:trPr>
        <w:tc>
          <w:tcPr>
            <w:tcW w:type="dxa" w:w="299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threat.indicator.matched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.confidence</w:t>
            </w:r>
          </w:p>
        </w:tc>
        <w:tc>
          <w:tcPr>
            <w:tcW w:type="dxa" w:w="259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boolean / double</w:t>
            </w:r>
          </w:p>
        </w:tc>
        <w:tc>
          <w:tcPr>
            <w:tcW w:type="dxa" w:w="88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N</w:t>
            </w:r>
          </w:p>
        </w:tc>
        <w:tc>
          <w:tcPr>
            <w:tcW w:type="dxa" w:w="315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TI enrichment</w:t>
            </w:r>
          </w:p>
        </w:tc>
      </w:tr>
      <w:tr>
        <w:trPr>
          <w:cantSplit/>
          <w:tblHeader w:val="false"/>
        </w:trPr>
        <w:tc>
          <w:tcPr>
            <w:tcW w:type="dxa" w:w="299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context.deployment_active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.maintenance_active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.change_id</w:t>
            </w:r>
          </w:p>
        </w:tc>
        <w:tc>
          <w:tcPr>
            <w:tcW w:type="dxa" w:w="259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boolean / boolean / string</w:t>
            </w:r>
          </w:p>
        </w:tc>
        <w:tc>
          <w:tcPr>
            <w:tcW w:type="dxa" w:w="88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Y</w:t>
            </w:r>
          </w:p>
        </w:tc>
        <w:tc>
          <w:tcPr>
            <w:tcW w:type="dxa" w:w="315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Change context at event time</w:t>
            </w:r>
          </w:p>
        </w:tc>
      </w:tr>
      <w:tr>
        <w:trPr>
          <w:cantSplit/>
          <w:tblHeader w:val="false"/>
        </w:trPr>
        <w:tc>
          <w:tcPr>
            <w:tcW w:type="dxa" w:w="299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quality.flags</w:t>
            </w:r>
          </w:p>
        </w:tc>
        <w:tc>
          <w:tcPr>
            <w:tcW w:type="dxa" w:w="259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array&lt;string&gt;</w:t>
            </w:r>
          </w:p>
        </w:tc>
        <w:tc>
          <w:tcPr>
            <w:tcW w:type="dxa" w:w="88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Y</w:t>
            </w:r>
          </w:p>
        </w:tc>
        <w:tc>
          <w:tcPr>
            <w:tcW w:type="dxa" w:w="315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clock_skew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late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unresolved_entity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pii_redacted</w:t>
            </w:r>
            <w:r>
              <w:rPr>
                <w:sz w:val="18"/>
                <w:szCs w:val="18"/>
              </w:rPr>
              <w:t xml:space="preserve"> …</w:t>
            </w:r>
          </w:p>
        </w:tc>
      </w:tr>
      <w:tr>
        <w:trPr>
          <w:cantSplit/>
          <w:tblHeader w:val="false"/>
        </w:trPr>
        <w:tc>
          <w:tcPr>
            <w:tcW w:type="dxa" w:w="299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tenancy.*</w:t>
            </w:r>
          </w:p>
        </w:tc>
        <w:tc>
          <w:tcPr>
            <w:tcW w:type="dxa" w:w="259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map</w:t>
            </w:r>
          </w:p>
        </w:tc>
        <w:tc>
          <w:tcPr>
            <w:tcW w:type="dxa" w:w="88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Y</w:t>
            </w:r>
          </w:p>
        </w:tc>
        <w:tc>
          <w:tcPr>
            <w:tcW w:type="dxa" w:w="315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org_unit, environment, region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7. Stage 1 — Aggregation Logic</w:t>
      </w:r>
    </w:p>
    <w:p>
      <w:pPr>
        <w:pStyle w:val="Heading2"/>
      </w:pPr>
      <w:r>
        <w:t xml:space="preserve">7.1 Flow</w:t>
      </w:r>
    </w:p>
    <w:p>
      <w:pPr>
        <w:pBdr>
          <w:top w:val="single" w:color="F3F4F6" w:sz="2" w:space="2"/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for each record r from raw.&lt;domain&gt;: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validate envelope + required resource attributes        -&gt; else DLQ(reason=missing_attr)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if source_id not approved                                -&gt; DLQ(reason=unknown_source)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if token_bucket[source_id].try_consume(1) == false       -&gt; metric dropped_rate_limited; drop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h = xxh3_128(source_id || floor(ts_ms) || canonical(body))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if dedup_state.contains(h) within 60s                    -&gt; metric duplicate; drop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dedup_state.put(h, ttl=60s)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key = entity_hint(r)  # service.name | host.name | k8s pod uid | device ip</w:t>
      </w:r>
    </w:p>
    <w:p>
      <w:pPr>
        <w:pBdr>
          <w:left w:val="single" w:color="2E75B6" w:sz="12" w:space="6"/>
        </w:pBdr>
        <w:shd w:fill="F3F4F6" w:color="auto" w:val="clear"/>
        <w:spacing w:after="16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emit(keyBy(key), r)</w:t>
      </w:r>
    </w:p>
    <w:p>
      <w:pPr>
        <w:pStyle w:val="Heading2"/>
      </w:pPr>
      <w:r>
        <w:t xml:space="preserve">7.2 Parameters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1"/>
        <w:gridCol w:w="2201"/>
        <w:gridCol w:w="1230"/>
        <w:gridCol w:w="4006"/>
      </w:tblGrid>
      <w:tr>
        <w:trPr>
          <w:cantSplit/>
          <w:tblHeader/>
        </w:trPr>
        <w:tc>
          <w:tcPr>
            <w:tcW w:type="dxa" w:w="220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220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123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Range</w:t>
            </w:r>
          </w:p>
        </w:tc>
        <w:tc>
          <w:tcPr>
            <w:tcW w:type="dxa" w:w="400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rPr>
          <w:cantSplit/>
          <w:tblHeader w:val="false"/>
        </w:trPr>
        <w:tc>
          <w:tcPr>
            <w:tcW w:type="dxa" w:w="220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dedup.window</w:t>
            </w:r>
          </w:p>
        </w:tc>
        <w:tc>
          <w:tcPr>
            <w:tcW w:type="dxa" w:w="220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PT60S</w:t>
            </w:r>
          </w:p>
        </w:tc>
        <w:tc>
          <w:tcPr>
            <w:tcW w:type="dxa" w:w="123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PT10S–PT5M</w:t>
            </w:r>
          </w:p>
        </w:tc>
        <w:tc>
          <w:tcPr>
            <w:tcW w:type="dxa" w:w="400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RocksDB state with TTL</w:t>
            </w:r>
          </w:p>
        </w:tc>
      </w:tr>
      <w:tr>
        <w:trPr>
          <w:cantSplit/>
          <w:tblHeader w:val="false"/>
        </w:trPr>
        <w:tc>
          <w:tcPr>
            <w:tcW w:type="dxa" w:w="220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dedup.state.ttl.cleanup</w:t>
            </w:r>
          </w:p>
        </w:tc>
        <w:tc>
          <w:tcPr>
            <w:tcW w:type="dxa" w:w="220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incremental, 1000 entries/record</w:t>
            </w:r>
          </w:p>
        </w:tc>
        <w:tc>
          <w:tcPr>
            <w:tcW w:type="dxa" w:w="123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00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</w:p>
        </w:tc>
      </w:tr>
      <w:tr>
        <w:trPr>
          <w:cantSplit/>
          <w:tblHeader w:val="false"/>
        </w:trPr>
        <w:tc>
          <w:tcPr>
            <w:tcW w:type="dxa" w:w="220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ratelimit.default_eps</w:t>
            </w:r>
          </w:p>
        </w:tc>
        <w:tc>
          <w:tcPr>
            <w:tcW w:type="dxa" w:w="220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from descriptor</w:t>
            </w:r>
          </w:p>
        </w:tc>
        <w:tc>
          <w:tcPr>
            <w:tcW w:type="dxa" w:w="123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00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Token bucket per source, burst = 2× rate for 30 s</w:t>
            </w:r>
          </w:p>
        </w:tc>
      </w:tr>
      <w:tr>
        <w:trPr>
          <w:cantSplit/>
          <w:tblHeader w:val="false"/>
        </w:trPr>
        <w:tc>
          <w:tcPr>
            <w:tcW w:type="dxa" w:w="220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watermark.max_out_of_orderness</w:t>
            </w:r>
          </w:p>
        </w:tc>
        <w:tc>
          <w:tcPr>
            <w:tcW w:type="dxa" w:w="220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PT10S</w:t>
            </w:r>
          </w:p>
        </w:tc>
        <w:tc>
          <w:tcPr>
            <w:tcW w:type="dxa" w:w="123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PT2S–PT60S</w:t>
            </w:r>
          </w:p>
        </w:tc>
        <w:tc>
          <w:tcPr>
            <w:tcW w:type="dxa" w:w="400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Per-source override allowed</w:t>
            </w:r>
          </w:p>
        </w:tc>
      </w:tr>
      <w:tr>
        <w:trPr>
          <w:cantSplit/>
          <w:tblHeader w:val="false"/>
        </w:trPr>
        <w:tc>
          <w:tcPr>
            <w:tcW w:type="dxa" w:w="220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allowed_lateness</w:t>
            </w:r>
          </w:p>
        </w:tc>
        <w:tc>
          <w:tcPr>
            <w:tcW w:type="dxa" w:w="220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PT2M</w:t>
            </w:r>
          </w:p>
        </w:tc>
        <w:tc>
          <w:tcPr>
            <w:tcW w:type="dxa" w:w="123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≤ PT10M</w:t>
            </w:r>
          </w:p>
        </w:tc>
        <w:tc>
          <w:tcPr>
            <w:tcW w:type="dxa" w:w="400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Late events beyond this go to side output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late</w:t>
            </w:r>
            <w:r>
              <w:rPr>
                <w:sz w:val="18"/>
                <w:szCs w:val="18"/>
              </w:rPr>
              <w:t xml:space="preserve"> and are still normalised but excluded from closed windows</w:t>
            </w:r>
          </w:p>
        </w:tc>
      </w:tr>
      <w:tr>
        <w:trPr>
          <w:cantSplit/>
          <w:tblHeader w:val="false"/>
        </w:trPr>
        <w:tc>
          <w:tcPr>
            <w:tcW w:type="dxa" w:w="220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parallelism</w:t>
            </w:r>
          </w:p>
        </w:tc>
        <w:tc>
          <w:tcPr>
            <w:tcW w:type="dxa" w:w="220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48</w:t>
            </w:r>
          </w:p>
        </w:tc>
        <w:tc>
          <w:tcPr>
            <w:tcW w:type="dxa" w:w="123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8–256</w:t>
            </w:r>
          </w:p>
        </w:tc>
        <w:tc>
          <w:tcPr>
            <w:tcW w:type="dxa" w:w="400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Autoscaled (TS-12)</w:t>
            </w:r>
          </w:p>
        </w:tc>
      </w:tr>
      <w:tr>
        <w:trPr>
          <w:cantSplit/>
          <w:tblHeader w:val="false"/>
        </w:trPr>
        <w:tc>
          <w:tcPr>
            <w:tcW w:type="dxa" w:w="220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checkpoint.interval</w:t>
            </w:r>
          </w:p>
        </w:tc>
        <w:tc>
          <w:tcPr>
            <w:tcW w:type="dxa" w:w="220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PT60S</w:t>
            </w:r>
          </w:p>
        </w:tc>
        <w:tc>
          <w:tcPr>
            <w:tcW w:type="dxa" w:w="123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PT30S–PT5M</w:t>
            </w:r>
          </w:p>
        </w:tc>
        <w:tc>
          <w:tcPr>
            <w:tcW w:type="dxa" w:w="400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Unaligned checkpoints enabled under backpressure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8. Stage 2 — Normalisation Logic</w:t>
      </w:r>
    </w:p>
    <w:p>
      <w:pPr>
        <w:pStyle w:val="Heading2"/>
      </w:pPr>
      <w:r>
        <w:t xml:space="preserve">8.1 ECS mapping specification</w:t>
      </w:r>
    </w:p>
    <w:p>
      <w:pPr>
        <w:pBdr>
          <w:top w:val="single" w:color="F3F4F6" w:sz="2" w:space="2"/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# mappings/app.apigw/v3.yaml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source_type: app.apigw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version: 3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parse: { format: json }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fields: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"@timestamp":              { from: ts, convert: iso8601_to_epoch_ms }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http.response.status_code: { from: status, convert: int }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url.path_template:         { from: path, transform: path_templater }  # /orders/123 -&gt; /orders/{id}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event.duration_us:         { from: latency_ms, convert: ms_to_us }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source.ip:                 { from: client_ip }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user.id_pseudo:            { from: consumer_id, transform: pseudonymise }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service.name:              { from: upstream_service }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derive: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event.outcome:  "status &lt; 400 ? 'success' : 'failure'"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event.category: ["web"]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event.severity: "status &gt;= 500 ? 60 : (status &gt;= 400 ? 30 : 10)"</w:t>
      </w:r>
    </w:p>
    <w:p>
      <w:pPr>
        <w:pBdr>
          <w:left w:val="single" w:color="2E75B6" w:sz="12" w:space="6"/>
        </w:pBdr>
        <w:shd w:fill="F3F4F6" w:color="auto" w:val="clear"/>
        <w:spacing w:after="16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tests: tests/app.apigw/*.json  # golden input/output pairs executed in CI</w:t>
      </w:r>
    </w:p>
    <w:p>
      <w:pPr>
        <w:spacing w:after="120"/>
      </w:pPr>
      <w:r>
        <w:t xml:space="preserve">Mapping rules: every mapping MUST include golden tests; CI rejects a mapping whose tests fail or whose output fails </w:t>
      </w:r>
      <w:r>
        <w:rPr>
          <w:rFonts w:ascii="Consolas" w:cs="Consolas" w:eastAsia="Consolas" w:hAnsi="Consolas"/>
          <w:color w:val="9B2C2C"/>
          <w:sz w:val="18"/>
          <w:szCs w:val="18"/>
        </w:rPr>
        <w:t xml:space="preserve">norm.events</w:t>
      </w:r>
      <w:r>
        <w:t xml:space="preserve"> schema validation. Mapping versions are deployed with the job and recorded in </w:t>
      </w:r>
      <w:r>
        <w:rPr>
          <w:rFonts w:ascii="Consolas" w:cs="Consolas" w:eastAsia="Consolas" w:hAnsi="Consolas"/>
          <w:color w:val="9B2C2C"/>
          <w:sz w:val="18"/>
          <w:szCs w:val="18"/>
        </w:rPr>
        <w:t xml:space="preserve">labels.mapping_version</w:t>
      </w:r>
      <w:r>
        <w:t xml:space="preserve">.</w:t>
      </w:r>
    </w:p>
    <w:p>
      <w:pPr>
        <w:pStyle w:val="Heading2"/>
      </w:pPr>
      <w:r>
        <w:t xml:space="preserve">8.2 Timestamp normalisation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Parse source timestamp per mapping; if absent use </w:t>
      </w:r>
      <w:r>
        <w:rPr>
          <w:rFonts w:ascii="Consolas" w:cs="Consolas" w:eastAsia="Consolas" w:hAnsi="Consolas"/>
          <w:color w:val="9B2C2C"/>
          <w:sz w:val="18"/>
          <w:szCs w:val="18"/>
        </w:rPr>
        <w:t xml:space="preserve">observed_timestamp</w:t>
      </w:r>
      <w:r>
        <w:t xml:space="preserve"> and add </w:t>
      </w:r>
      <w:r>
        <w:rPr>
          <w:rFonts w:ascii="Consolas" w:cs="Consolas" w:eastAsia="Consolas" w:hAnsi="Consolas"/>
          <w:color w:val="9B2C2C"/>
          <w:sz w:val="18"/>
          <w:szCs w:val="18"/>
        </w:rPr>
        <w:t xml:space="preserve">quality.flags += no_source_ts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Convert to UTC epoch ms. Timezone-less timestamps use the source descriptor's </w:t>
      </w:r>
      <w:r>
        <w:rPr>
          <w:rFonts w:ascii="Consolas" w:cs="Consolas" w:eastAsia="Consolas" w:hAnsi="Consolas"/>
          <w:color w:val="9B2C2C"/>
          <w:sz w:val="18"/>
          <w:szCs w:val="18"/>
        </w:rPr>
        <w:t xml:space="preserve">timezone</w:t>
      </w:r>
      <w:r>
        <w:t xml:space="preserve"> (default UTC).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If |source_ts − observed_ts| &gt; 5 s, add </w:t>
      </w:r>
      <w:r>
        <w:rPr>
          <w:rFonts w:ascii="Consolas" w:cs="Consolas" w:eastAsia="Consolas" w:hAnsi="Consolas"/>
          <w:color w:val="9B2C2C"/>
          <w:sz w:val="18"/>
          <w:szCs w:val="18"/>
        </w:rPr>
        <w:t xml:space="preserve">clock_skew</w:t>
      </w:r>
      <w:r>
        <w:t xml:space="preserve">; if skew for the source has a stable median over 1 h, apply the median correction and record </w:t>
      </w:r>
      <w:r>
        <w:rPr>
          <w:rFonts w:ascii="Consolas" w:cs="Consolas" w:eastAsia="Consolas" w:hAnsi="Consolas"/>
          <w:color w:val="9B2C2C"/>
          <w:sz w:val="18"/>
          <w:szCs w:val="18"/>
        </w:rPr>
        <w:t xml:space="preserve">labels.skew_correction_ms</w:t>
      </w:r>
      <w:r>
        <w:t xml:space="preserve">.</w:t>
      </w:r>
    </w:p>
    <w:p>
      <w:pPr>
        <w:pStyle w:val="Heading2"/>
      </w:pPr>
      <w:r>
        <w:t xml:space="preserve">8.3 Severity normalisation (0–100)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47"/>
        <w:gridCol w:w="4791"/>
      </w:tblGrid>
      <w:tr>
        <w:trPr>
          <w:cantSplit/>
          <w:tblHeader/>
        </w:trPr>
        <w:tc>
          <w:tcPr>
            <w:tcW w:type="dxa" w:w="484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Source scale</w:t>
            </w:r>
          </w:p>
        </w:tc>
        <w:tc>
          <w:tcPr>
            <w:tcW w:type="dxa" w:w="479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Mapping to </w:t>
            </w: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event.severity</w:t>
            </w:r>
          </w:p>
        </w:tc>
      </w:tr>
      <w:tr>
        <w:trPr>
          <w:cantSplit/>
          <w:tblHeader w:val="false"/>
        </w:trPr>
        <w:tc>
          <w:tcPr>
            <w:tcW w:type="dxa" w:w="484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Syslog 0–7 (emerg→debug)</w:t>
            </w:r>
          </w:p>
        </w:tc>
        <w:tc>
          <w:tcPr>
            <w:tcW w:type="dxa" w:w="479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100, 90, 80, 70, 50, 30, 20, 10</w:t>
            </w:r>
          </w:p>
        </w:tc>
      </w:tr>
      <w:tr>
        <w:trPr>
          <w:cantSplit/>
          <w:tblHeader w:val="false"/>
        </w:trPr>
        <w:tc>
          <w:tcPr>
            <w:tcW w:type="dxa" w:w="484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Log level FATAL/ERROR/WARN/INFO/DEBUG/TRACE</w:t>
            </w:r>
          </w:p>
        </w:tc>
        <w:tc>
          <w:tcPr>
            <w:tcW w:type="dxa" w:w="479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90 / 70 / 50 / 20 / 10 / 5</w:t>
            </w:r>
          </w:p>
        </w:tc>
      </w:tr>
      <w:tr>
        <w:trPr>
          <w:cantSplit/>
          <w:tblHeader w:val="false"/>
        </w:trPr>
        <w:tc>
          <w:tcPr>
            <w:tcW w:type="dxa" w:w="484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CVSS 0–10</w:t>
            </w:r>
          </w:p>
        </w:tc>
        <w:tc>
          <w:tcPr>
            <w:tcW w:type="dxa" w:w="479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CVSS × 10</w:t>
            </w:r>
          </w:p>
        </w:tc>
      </w:tr>
      <w:tr>
        <w:trPr>
          <w:cantSplit/>
          <w:tblHeader w:val="false"/>
        </w:trPr>
        <w:tc>
          <w:tcPr>
            <w:tcW w:type="dxa" w:w="484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Vendor 1–5 (low→critical)</w:t>
            </w:r>
          </w:p>
        </w:tc>
        <w:tc>
          <w:tcPr>
            <w:tcW w:type="dxa" w:w="479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20, 40, 60, 80, 95</w:t>
            </w:r>
          </w:p>
        </w:tc>
      </w:tr>
      <w:tr>
        <w:trPr>
          <w:cantSplit/>
          <w:tblHeader w:val="false"/>
        </w:trPr>
        <w:tc>
          <w:tcPr>
            <w:tcW w:type="dxa" w:w="484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Metrics</w:t>
            </w:r>
          </w:p>
        </w:tc>
        <w:tc>
          <w:tcPr>
            <w:tcW w:type="dxa" w:w="479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0 (severity is computed by ML, not source)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8.4 Entity resolution</w:t>
      </w:r>
    </w:p>
    <w:p>
      <w:pPr>
        <w:spacing w:after="120"/>
      </w:pPr>
      <w:r>
        <w:t xml:space="preserve">Resolution order (first hit wins), all from broadcast state: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3"/>
        <w:gridCol w:w="2614"/>
        <w:gridCol w:w="2995"/>
        <w:gridCol w:w="2996"/>
      </w:tblGrid>
      <w:tr>
        <w:trPr>
          <w:cantSplit/>
          <w:tblHeader/>
        </w:trPr>
        <w:tc>
          <w:tcPr>
            <w:tcW w:type="dxa" w:w="103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Order</w:t>
            </w:r>
          </w:p>
        </w:tc>
        <w:tc>
          <w:tcPr>
            <w:tcW w:type="dxa" w:w="261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299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Lookup table</w:t>
            </w:r>
          </w:p>
        </w:tc>
        <w:tc>
          <w:tcPr>
            <w:tcW w:type="dxa" w:w="299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rPr>
          <w:cantSplit/>
          <w:tblHeader w:val="false"/>
        </w:trPr>
        <w:tc>
          <w:tcPr>
            <w:tcW w:type="dxa" w:w="103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61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k8s.pod.uid</w:t>
            </w:r>
            <w:r>
              <w:rPr>
                <w:sz w:val="18"/>
                <w:szCs w:val="18"/>
              </w:rPr>
              <w:t xml:space="preserve"> → workload</w:t>
            </w:r>
          </w:p>
        </w:tc>
        <w:tc>
          <w:tcPr>
            <w:tcW w:type="dxa" w:w="299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k8s_workload_to_ci</w:t>
            </w:r>
          </w:p>
        </w:tc>
        <w:tc>
          <w:tcPr>
            <w:tcW w:type="dxa" w:w="299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pod → deployment → service CI</w:t>
            </w:r>
          </w:p>
        </w:tc>
      </w:tr>
      <w:tr>
        <w:trPr>
          <w:cantSplit/>
          <w:tblHeader w:val="false"/>
        </w:trPr>
        <w:tc>
          <w:tcPr>
            <w:tcW w:type="dxa" w:w="103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61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service.name</w:t>
            </w:r>
            <w:r>
              <w:rPr>
                <w:sz w:val="18"/>
                <w:szCs w:val="18"/>
              </w:rPr>
              <w:t xml:space="preserve"> (+ environment)</w:t>
            </w:r>
          </w:p>
        </w:tc>
        <w:tc>
          <w:tcPr>
            <w:tcW w:type="dxa" w:w="299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service_name_to_ci</w:t>
            </w:r>
          </w:p>
        </w:tc>
        <w:tc>
          <w:tcPr>
            <w:tcW w:type="dxa" w:w="299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payments-api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cmdb_ci_service:SVC0042</w:t>
            </w:r>
          </w:p>
        </w:tc>
      </w:tr>
      <w:tr>
        <w:trPr>
          <w:cantSplit/>
          <w:tblHeader w:val="false"/>
        </w:trPr>
        <w:tc>
          <w:tcPr>
            <w:tcW w:type="dxa" w:w="103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61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host.name</w:t>
            </w:r>
            <w:r>
              <w:rPr>
                <w:sz w:val="18"/>
                <w:szCs w:val="18"/>
              </w:rPr>
              <w:t xml:space="preserve"> (FQDN, lower-cased)</w:t>
            </w:r>
          </w:p>
        </w:tc>
        <w:tc>
          <w:tcPr>
            <w:tcW w:type="dxa" w:w="299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hostname_to_ci</w:t>
            </w:r>
          </w:p>
        </w:tc>
        <w:tc>
          <w:tcPr>
            <w:tcW w:type="dxa" w:w="299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</w:p>
        </w:tc>
      </w:tr>
      <w:tr>
        <w:trPr>
          <w:cantSplit/>
          <w:tblHeader w:val="false"/>
        </w:trPr>
        <w:tc>
          <w:tcPr>
            <w:tcW w:type="dxa" w:w="103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61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host.ip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source.ip</w:t>
            </w:r>
            <w:r>
              <w:rPr>
                <w:sz w:val="18"/>
                <w:szCs w:val="18"/>
              </w:rPr>
              <w:t xml:space="preserve"> (+ site)</w:t>
            </w:r>
          </w:p>
        </w:tc>
        <w:tc>
          <w:tcPr>
            <w:tcW w:type="dxa" w:w="299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ip_to_ci</w:t>
            </w:r>
            <w:r>
              <w:rPr>
                <w:sz w:val="18"/>
                <w:szCs w:val="18"/>
              </w:rPr>
              <w:t xml:space="preserve"> (interval tree, DHCP-aware TTL)</w:t>
            </w:r>
          </w:p>
        </w:tc>
        <w:tc>
          <w:tcPr>
            <w:tcW w:type="dxa" w:w="299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</w:p>
        </w:tc>
      </w:tr>
      <w:tr>
        <w:trPr>
          <w:cantSplit/>
          <w:tblHeader w:val="false"/>
        </w:trPr>
        <w:tc>
          <w:tcPr>
            <w:tcW w:type="dxa" w:w="103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61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Cloud resource ARN / ID</w:t>
            </w:r>
          </w:p>
        </w:tc>
        <w:tc>
          <w:tcPr>
            <w:tcW w:type="dxa" w:w="299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cloud_resource_to_ci</w:t>
            </w:r>
          </w:p>
        </w:tc>
        <w:tc>
          <w:tcPr>
            <w:tcW w:type="dxa" w:w="299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</w:p>
        </w:tc>
      </w:tr>
      <w:tr>
        <w:trPr>
          <w:cantSplit/>
          <w:tblHeader w:val="false"/>
        </w:trPr>
        <w:tc>
          <w:tcPr>
            <w:tcW w:type="dxa" w:w="103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261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Device serial / SNMP sysName</w:t>
            </w:r>
          </w:p>
        </w:tc>
        <w:tc>
          <w:tcPr>
            <w:tcW w:type="dxa" w:w="299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device_to_ci</w:t>
            </w:r>
          </w:p>
        </w:tc>
        <w:tc>
          <w:tcPr>
            <w:tcW w:type="dxa" w:w="299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</w:p>
        </w:tc>
      </w:tr>
    </w:tbl>
    <w:p>
      <w:pPr>
        <w:spacing w:after="80"/>
      </w:pPr>
    </w:p>
    <w:p>
      <w:pPr>
        <w:spacing w:after="120"/>
      </w:pPr>
      <w:r>
        <w:t xml:space="preserve">If none hits: </w:t>
      </w:r>
      <w:r>
        <w:rPr>
          <w:rFonts w:ascii="Consolas" w:cs="Consolas" w:eastAsia="Consolas" w:hAnsi="Consolas"/>
          <w:color w:val="9B2C2C"/>
          <w:sz w:val="18"/>
          <w:szCs w:val="18"/>
        </w:rPr>
        <w:t xml:space="preserve">entity.id = unresolved:&lt;best_hint&gt;</w:t>
      </w:r>
      <w:r>
        <w:t xml:space="preserve">, </w:t>
      </w:r>
      <w:r>
        <w:rPr>
          <w:rFonts w:ascii="Consolas" w:cs="Consolas" w:eastAsia="Consolas" w:hAnsi="Consolas"/>
          <w:color w:val="9B2C2C"/>
          <w:sz w:val="18"/>
          <w:szCs w:val="18"/>
        </w:rPr>
        <w:t xml:space="preserve">quality.flags += unresolved_entity</w:t>
      </w:r>
      <w:r>
        <w:t xml:space="preserve">, async CMDB query (500 ms timeout, result cached 15 min). Unresolved rate per source is a data-quality KPI reported weekly to CMDB owners.</w:t>
      </w:r>
    </w:p>
    <w:p>
      <w:pPr>
        <w:pStyle w:val="Heading2"/>
      </w:pPr>
      <w:r>
        <w:t xml:space="preserve">8.5 Reference-data broadcast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1"/>
        <w:gridCol w:w="2366"/>
        <w:gridCol w:w="2200"/>
        <w:gridCol w:w="2521"/>
      </w:tblGrid>
      <w:tr>
        <w:trPr>
          <w:cantSplit/>
          <w:tblHeader/>
        </w:trPr>
        <w:tc>
          <w:tcPr>
            <w:tcW w:type="dxa" w:w="255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Stream</w:t>
            </w:r>
          </w:p>
        </w:tc>
        <w:tc>
          <w:tcPr>
            <w:tcW w:type="dxa" w:w="23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2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Refresh</w:t>
            </w:r>
          </w:p>
        </w:tc>
        <w:tc>
          <w:tcPr>
            <w:tcW w:type="dxa" w:w="252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Size estimate</w:t>
            </w:r>
          </w:p>
        </w:tc>
      </w:tr>
      <w:tr>
        <w:trPr>
          <w:cantSplit/>
          <w:tblHeader w:val="false"/>
        </w:trPr>
        <w:tc>
          <w:tcPr>
            <w:tcW w:type="dxa" w:w="255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CMDB CI and relationship snapshots + deltas</w:t>
            </w:r>
          </w:p>
        </w:tc>
        <w:tc>
          <w:tcPr>
            <w:tcW w:type="dxa" w:w="23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CMDB API →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ref.cmdb</w:t>
            </w:r>
            <w:r>
              <w:rPr>
                <w:sz w:val="18"/>
                <w:szCs w:val="18"/>
              </w:rPr>
              <w:t xml:space="preserve"> (compacted)</w:t>
            </w:r>
          </w:p>
        </w:tc>
        <w:tc>
          <w:tcPr>
            <w:tcW w:type="dxa" w:w="2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Full nightly, deltas via webhook</w:t>
            </w:r>
          </w:p>
        </w:tc>
        <w:tc>
          <w:tcPr>
            <w:tcW w:type="dxa" w:w="252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≤ 2 GiB state</w:t>
            </w:r>
          </w:p>
        </w:tc>
      </w:tr>
      <w:tr>
        <w:trPr>
          <w:cantSplit/>
          <w:tblHeader w:val="false"/>
        </w:trPr>
        <w:tc>
          <w:tcPr>
            <w:tcW w:type="dxa" w:w="255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Maintenance windows</w:t>
            </w:r>
          </w:p>
        </w:tc>
        <w:tc>
          <w:tcPr>
            <w:tcW w:type="dxa" w:w="23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Change calendar →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ref.maintenance</w:t>
            </w:r>
          </w:p>
        </w:tc>
        <w:tc>
          <w:tcPr>
            <w:tcW w:type="dxa" w:w="2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On change</w:t>
            </w:r>
          </w:p>
        </w:tc>
        <w:tc>
          <w:tcPr>
            <w:tcW w:type="dxa" w:w="252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Small</w:t>
            </w:r>
          </w:p>
        </w:tc>
      </w:tr>
      <w:tr>
        <w:trPr>
          <w:cantSplit/>
          <w:tblHeader w:val="false"/>
        </w:trPr>
        <w:tc>
          <w:tcPr>
            <w:tcW w:type="dxa" w:w="255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Deployments / change records</w:t>
            </w:r>
          </w:p>
        </w:tc>
        <w:tc>
          <w:tcPr>
            <w:tcW w:type="dxa" w:w="23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CI/CD + change system →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ref.changes</w:t>
            </w:r>
          </w:p>
        </w:tc>
        <w:tc>
          <w:tcPr>
            <w:tcW w:type="dxa" w:w="2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Real time</w:t>
            </w:r>
          </w:p>
        </w:tc>
        <w:tc>
          <w:tcPr>
            <w:tcW w:type="dxa" w:w="252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30-day window</w:t>
            </w:r>
          </w:p>
        </w:tc>
      </w:tr>
      <w:tr>
        <w:trPr>
          <w:cantSplit/>
          <w:tblHeader w:val="false"/>
        </w:trPr>
        <w:tc>
          <w:tcPr>
            <w:tcW w:type="dxa" w:w="255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Threat-intel indicators</w:t>
            </w:r>
          </w:p>
        </w:tc>
        <w:tc>
          <w:tcPr>
            <w:tcW w:type="dxa" w:w="23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TAXII puller →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ref.ti</w:t>
            </w:r>
            <w:r>
              <w:rPr>
                <w:sz w:val="18"/>
                <w:szCs w:val="18"/>
              </w:rPr>
              <w:t xml:space="preserve"> (compacted)</w:t>
            </w:r>
          </w:p>
        </w:tc>
        <w:tc>
          <w:tcPr>
            <w:tcW w:type="dxa" w:w="2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Hourly + on publish</w:t>
            </w:r>
          </w:p>
        </w:tc>
        <w:tc>
          <w:tcPr>
            <w:tcW w:type="dxa" w:w="252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≤ 5M indicators (bloom filter + exact map)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8.6 Enrichment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Change context:</w:t>
      </w:r>
      <w:r>
        <w:t xml:space="preserve"> set </w:t>
      </w:r>
      <w:r>
        <w:rPr>
          <w:rFonts w:ascii="Consolas" w:cs="Consolas" w:eastAsia="Consolas" w:hAnsi="Consolas"/>
          <w:color w:val="9B2C2C"/>
          <w:sz w:val="18"/>
          <w:szCs w:val="18"/>
        </w:rPr>
        <w:t xml:space="preserve">context.deployment_active = true</w:t>
      </w:r>
      <w:r>
        <w:t xml:space="preserve"> if a deployment on the entity or its direct dependencies started in the last 30 minutes; set </w:t>
      </w:r>
      <w:r>
        <w:rPr>
          <w:rFonts w:ascii="Consolas" w:cs="Consolas" w:eastAsia="Consolas" w:hAnsi="Consolas"/>
          <w:color w:val="9B2C2C"/>
          <w:sz w:val="18"/>
          <w:szCs w:val="18"/>
        </w:rPr>
        <w:t xml:space="preserve">context.maintenance_active</w:t>
      </w:r>
      <w:r>
        <w:t xml:space="preserve"> if within a scheduled window covering the entity; set </w:t>
      </w:r>
      <w:r>
        <w:rPr>
          <w:rFonts w:ascii="Consolas" w:cs="Consolas" w:eastAsia="Consolas" w:hAnsi="Consolas"/>
          <w:color w:val="9B2C2C"/>
          <w:sz w:val="18"/>
          <w:szCs w:val="18"/>
        </w:rPr>
        <w:t xml:space="preserve">context.change_id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Threat intelligence (security and network domains only):</w:t>
      </w:r>
      <w:r>
        <w:t xml:space="preserve"> match </w:t>
      </w:r>
      <w:r>
        <w:rPr>
          <w:rFonts w:ascii="Consolas" w:cs="Consolas" w:eastAsia="Consolas" w:hAnsi="Consolas"/>
          <w:color w:val="9B2C2C"/>
          <w:sz w:val="18"/>
          <w:szCs w:val="18"/>
        </w:rPr>
        <w:t xml:space="preserve">source.ip</w:t>
      </w:r>
      <w:r>
        <w:t xml:space="preserve">, </w:t>
      </w:r>
      <w:r>
        <w:rPr>
          <w:rFonts w:ascii="Consolas" w:cs="Consolas" w:eastAsia="Consolas" w:hAnsi="Consolas"/>
          <w:color w:val="9B2C2C"/>
          <w:sz w:val="18"/>
          <w:szCs w:val="18"/>
        </w:rPr>
        <w:t xml:space="preserve">destination.ip</w:t>
      </w:r>
      <w:r>
        <w:t xml:space="preserve">, DNS </w:t>
      </w:r>
      <w:r>
        <w:rPr>
          <w:rFonts w:ascii="Consolas" w:cs="Consolas" w:eastAsia="Consolas" w:hAnsi="Consolas"/>
          <w:color w:val="9B2C2C"/>
          <w:sz w:val="18"/>
          <w:szCs w:val="18"/>
        </w:rPr>
        <w:t xml:space="preserve">qname</w:t>
      </w:r>
      <w:r>
        <w:t xml:space="preserve"> and file hashes against TI bloom filter, then exact map; on match set </w:t>
      </w:r>
      <w:r>
        <w:rPr>
          <w:rFonts w:ascii="Consolas" w:cs="Consolas" w:eastAsia="Consolas" w:hAnsi="Consolas"/>
          <w:color w:val="9B2C2C"/>
          <w:sz w:val="18"/>
          <w:szCs w:val="18"/>
        </w:rPr>
        <w:t xml:space="preserve">threat.indicator.matched</w:t>
      </w:r>
      <w:r>
        <w:t xml:space="preserve">, </w:t>
      </w:r>
      <w:r>
        <w:rPr>
          <w:rFonts w:ascii="Consolas" w:cs="Consolas" w:eastAsia="Consolas" w:hAnsi="Consolas"/>
          <w:color w:val="9B2C2C"/>
          <w:sz w:val="18"/>
          <w:szCs w:val="18"/>
        </w:rPr>
        <w:t xml:space="preserve">type</w:t>
      </w:r>
      <w:r>
        <w:t xml:space="preserve">, </w:t>
      </w:r>
      <w:r>
        <w:rPr>
          <w:rFonts w:ascii="Consolas" w:cs="Consolas" w:eastAsia="Consolas" w:hAnsi="Consolas"/>
          <w:color w:val="9B2C2C"/>
          <w:sz w:val="18"/>
          <w:szCs w:val="18"/>
        </w:rPr>
        <w:t xml:space="preserve">confidence</w:t>
      </w:r>
      <w:r>
        <w:t xml:space="preserve">, </w:t>
      </w:r>
      <w:r>
        <w:rPr>
          <w:rFonts w:ascii="Consolas" w:cs="Consolas" w:eastAsia="Consolas" w:hAnsi="Consolas"/>
          <w:color w:val="9B2C2C"/>
          <w:sz w:val="18"/>
          <w:szCs w:val="18"/>
        </w:rPr>
        <w:t xml:space="preserve">feed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Message templating:</w:t>
      </w:r>
      <w:r>
        <w:t xml:space="preserve"> log messages reduced to templates with Drain3 (similarity threshold 0.5, depth 4) so that </w:t>
      </w:r>
      <w:r>
        <w:rPr>
          <w:rFonts w:ascii="Consolas" w:cs="Consolas" w:eastAsia="Consolas" w:hAnsi="Consolas"/>
          <w:color w:val="9B2C2C"/>
          <w:sz w:val="18"/>
          <w:szCs w:val="18"/>
        </w:rPr>
        <w:t xml:space="preserve">error.message_template</w:t>
      </w:r>
      <w:r>
        <w:t xml:space="preserve"> is a stable, low-cardinality feature key; variable tokens stored in </w:t>
      </w:r>
      <w:r>
        <w:rPr>
          <w:rFonts w:ascii="Consolas" w:cs="Consolas" w:eastAsia="Consolas" w:hAnsi="Consolas"/>
          <w:color w:val="9B2C2C"/>
          <w:sz w:val="18"/>
          <w:szCs w:val="18"/>
        </w:rPr>
        <w:t xml:space="preserve">labels.params</w:t>
      </w:r>
      <w:r>
        <w:t xml:space="preserve"> only for application logs.</w:t>
      </w:r>
    </w:p>
    <w:p>
      <w:pPr>
        <w:pStyle w:val="Heading2"/>
      </w:pPr>
      <w:r>
        <w:t xml:space="preserve">8.7 PII pseudonymisation</w:t>
      </w:r>
    </w:p>
    <w:p>
      <w:pPr>
        <w:spacing w:after="120"/>
      </w:pPr>
      <w:r>
        <w:t xml:space="preserve">Fields listed in the source descriptor's </w:t>
      </w:r>
      <w:r>
        <w:rPr>
          <w:rFonts w:ascii="Consolas" w:cs="Consolas" w:eastAsia="Consolas" w:hAnsi="Consolas"/>
          <w:color w:val="9B2C2C"/>
          <w:sz w:val="18"/>
          <w:szCs w:val="18"/>
        </w:rPr>
        <w:t xml:space="preserve">pii_fields</w:t>
      </w:r>
      <w:r>
        <w:t xml:space="preserve"> are replaced with </w:t>
      </w:r>
      <w:r>
        <w:rPr>
          <w:rFonts w:ascii="Consolas" w:cs="Consolas" w:eastAsia="Consolas" w:hAnsi="Consolas"/>
          <w:color w:val="9B2C2C"/>
          <w:sz w:val="18"/>
          <w:szCs w:val="18"/>
        </w:rPr>
        <w:t xml:space="preserve">HMAC-SHA256(key_v, value)</w:t>
      </w:r>
      <w:r>
        <w:t xml:space="preserve"> truncated to 128 bits. Keys are held in KMS and rotated every 90 days with a 30-day overlap (both versions resolvable for correlation). Raw values are never written to </w:t>
      </w:r>
      <w:r>
        <w:rPr>
          <w:rFonts w:ascii="Consolas" w:cs="Consolas" w:eastAsia="Consolas" w:hAnsi="Consolas"/>
          <w:color w:val="9B2C2C"/>
          <w:sz w:val="18"/>
          <w:szCs w:val="18"/>
        </w:rPr>
        <w:t xml:space="preserve">norm.events</w:t>
      </w:r>
      <w:r>
        <w:t xml:space="preserve">. See TS-10 for policy.</w:t>
      </w:r>
    </w:p>
    <w:p>
      <w:pPr>
        <w:pStyle w:val="Heading1"/>
      </w:pPr>
      <w:r>
        <w:t xml:space="preserve">9. Dead-Letter Handling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94"/>
        <w:gridCol w:w="3485"/>
        <w:gridCol w:w="3359"/>
      </w:tblGrid>
      <w:tr>
        <w:trPr>
          <w:cantSplit/>
          <w:tblHeader/>
        </w:trPr>
        <w:tc>
          <w:tcPr>
            <w:tcW w:type="dxa" w:w="279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Reason code</w:t>
            </w:r>
          </w:p>
        </w:tc>
        <w:tc>
          <w:tcPr>
            <w:tcW w:type="dxa" w:w="348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  <w:tc>
          <w:tcPr>
            <w:tcW w:type="dxa" w:w="335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Replayable</w:t>
            </w:r>
          </w:p>
        </w:tc>
      </w:tr>
      <w:tr>
        <w:trPr>
          <w:cantSplit/>
          <w:tblHeader w:val="false"/>
        </w:trPr>
        <w:tc>
          <w:tcPr>
            <w:tcW w:type="dxa" w:w="279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missing_attr</w:t>
            </w:r>
          </w:p>
        </w:tc>
        <w:tc>
          <w:tcPr>
            <w:tcW w:type="dxa" w:w="348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No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source.id</w:t>
            </w:r>
          </w:p>
        </w:tc>
        <w:tc>
          <w:tcPr>
            <w:tcW w:type="dxa" w:w="335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After collector fix</w:t>
            </w:r>
          </w:p>
        </w:tc>
      </w:tr>
      <w:tr>
        <w:trPr>
          <w:cantSplit/>
          <w:tblHeader w:val="false"/>
        </w:trPr>
        <w:tc>
          <w:tcPr>
            <w:tcW w:type="dxa" w:w="279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unknown_source</w:t>
            </w:r>
          </w:p>
        </w:tc>
        <w:tc>
          <w:tcPr>
            <w:tcW w:type="dxa" w:w="348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Descriptor not approved</w:t>
            </w:r>
          </w:p>
        </w:tc>
        <w:tc>
          <w:tcPr>
            <w:tcW w:type="dxa" w:w="335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After approval</w:t>
            </w:r>
          </w:p>
        </w:tc>
      </w:tr>
      <w:tr>
        <w:trPr>
          <w:cantSplit/>
          <w:tblHeader w:val="false"/>
        </w:trPr>
        <w:tc>
          <w:tcPr>
            <w:tcW w:type="dxa" w:w="279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parse_error</w:t>
            </w:r>
          </w:p>
        </w:tc>
        <w:tc>
          <w:tcPr>
            <w:tcW w:type="dxa" w:w="348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Malformed JSON</w:t>
            </w:r>
          </w:p>
        </w:tc>
        <w:tc>
          <w:tcPr>
            <w:tcW w:type="dxa" w:w="335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After mapping fix</w:t>
            </w:r>
          </w:p>
        </w:tc>
      </w:tr>
      <w:tr>
        <w:trPr>
          <w:cantSplit/>
          <w:tblHeader w:val="false"/>
        </w:trPr>
        <w:tc>
          <w:tcPr>
            <w:tcW w:type="dxa" w:w="279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schema_violation</w:t>
            </w:r>
          </w:p>
        </w:tc>
        <w:tc>
          <w:tcPr>
            <w:tcW w:type="dxa" w:w="348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Output fails Avro validation</w:t>
            </w:r>
          </w:p>
        </w:tc>
        <w:tc>
          <w:tcPr>
            <w:tcW w:type="dxa" w:w="335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After mapping fix</w:t>
            </w:r>
          </w:p>
        </w:tc>
      </w:tr>
      <w:tr>
        <w:trPr>
          <w:cantSplit/>
          <w:tblHeader w:val="false"/>
        </w:trPr>
        <w:tc>
          <w:tcPr>
            <w:tcW w:type="dxa" w:w="279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oversize</w:t>
            </w:r>
          </w:p>
        </w:tc>
        <w:tc>
          <w:tcPr>
            <w:tcW w:type="dxa" w:w="348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&gt; 1 MiB after parse</w:t>
            </w:r>
          </w:p>
        </w:tc>
        <w:tc>
          <w:tcPr>
            <w:tcW w:type="dxa" w:w="335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No (truncated copy logged)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Dead-letter records carry the original bytes (base64), reason, mapping version and stack trace. A replay tool re-injects selected records into </w:t>
      </w:r>
      <w:r>
        <w:rPr>
          <w:rFonts w:ascii="Consolas" w:cs="Consolas" w:eastAsia="Consolas" w:hAnsi="Consolas"/>
          <w:color w:val="9B2C2C"/>
          <w:sz w:val="18"/>
          <w:szCs w:val="18"/>
        </w:rPr>
        <w:t xml:space="preserve">raw.&lt;domain&gt;</w:t>
      </w:r>
      <w:r>
        <w:t xml:space="preserve"> with header </w:t>
      </w:r>
      <w:r>
        <w:rPr>
          <w:rFonts w:ascii="Consolas" w:cs="Consolas" w:eastAsia="Consolas" w:hAnsi="Consolas"/>
          <w:color w:val="9B2C2C"/>
          <w:sz w:val="18"/>
          <w:szCs w:val="18"/>
        </w:rPr>
        <w:t xml:space="preserve">x-replay=true</w:t>
      </w:r>
      <w:r>
        <w:t xml:space="preserve">; replayed events are excluded from real-time detection when older than 10 minutes but included in training data.</w:t>
      </w:r>
    </w:p>
    <w:p>
      <w:pPr>
        <w:pStyle w:val="Heading1"/>
      </w:pPr>
      <w:r>
        <w:t xml:space="preserve">10. Failure Modes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84"/>
        <w:gridCol w:w="3080"/>
        <w:gridCol w:w="4274"/>
      </w:tblGrid>
      <w:tr>
        <w:trPr>
          <w:cantSplit/>
          <w:tblHeader/>
        </w:trPr>
        <w:tc>
          <w:tcPr>
            <w:tcW w:type="dxa" w:w="228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Failure</w:t>
            </w:r>
          </w:p>
        </w:tc>
        <w:tc>
          <w:tcPr>
            <w:tcW w:type="dxa" w:w="308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Detection</w:t>
            </w:r>
          </w:p>
        </w:tc>
        <w:tc>
          <w:tcPr>
            <w:tcW w:type="dxa" w:w="427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Handling</w:t>
            </w:r>
          </w:p>
        </w:tc>
      </w:tr>
      <w:tr>
        <w:trPr>
          <w:cantSplit/>
          <w:tblHeader w:val="false"/>
        </w:trPr>
        <w:tc>
          <w:tcPr>
            <w:tcW w:type="dxa" w:w="228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Broker loss</w:t>
            </w:r>
          </w:p>
        </w:tc>
        <w:tc>
          <w:tcPr>
            <w:tcW w:type="dxa" w:w="308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Under-replicated partitions</w:t>
            </w:r>
          </w:p>
        </w:tc>
        <w:tc>
          <w:tcPr>
            <w:tcW w:type="dxa" w:w="427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Leaders move; producers retry; Cruise Control self-heals replicas</w:t>
            </w:r>
          </w:p>
        </w:tc>
      </w:tr>
      <w:tr>
        <w:trPr>
          <w:cantSplit/>
          <w:tblHeader w:val="false"/>
        </w:trPr>
        <w:tc>
          <w:tcPr>
            <w:tcW w:type="dxa" w:w="228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TaskManager loss</w:t>
            </w:r>
          </w:p>
        </w:tc>
        <w:tc>
          <w:tcPr>
            <w:tcW w:type="dxa" w:w="308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Flink job restart</w:t>
            </w:r>
          </w:p>
        </w:tc>
        <w:tc>
          <w:tcPr>
            <w:tcW w:type="dxa" w:w="427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Restore from last checkpoint; Kafka transactions abort uncommitted output</w:t>
            </w:r>
          </w:p>
        </w:tc>
      </w:tr>
      <w:tr>
        <w:trPr>
          <w:cantSplit/>
          <w:tblHeader w:val="false"/>
        </w:trPr>
        <w:tc>
          <w:tcPr>
            <w:tcW w:type="dxa" w:w="228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Checkpoint timeouts</w:t>
            </w:r>
          </w:p>
        </w:tc>
        <w:tc>
          <w:tcPr>
            <w:tcW w:type="dxa" w:w="308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Checkpoint duration &gt; 120 s</w:t>
            </w:r>
          </w:p>
        </w:tc>
        <w:tc>
          <w:tcPr>
            <w:tcW w:type="dxa" w:w="427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Enable unaligned checkpoints; scale out; alert</w:t>
            </w:r>
          </w:p>
        </w:tc>
      </w:tr>
      <w:tr>
        <w:trPr>
          <w:cantSplit/>
          <w:tblHeader w:val="false"/>
        </w:trPr>
        <w:tc>
          <w:tcPr>
            <w:tcW w:type="dxa" w:w="228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CMDB feed stale &gt; 24 h</w:t>
            </w:r>
          </w:p>
        </w:tc>
        <w:tc>
          <w:tcPr>
            <w:tcW w:type="dxa" w:w="308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ref.cmdb</w:t>
            </w:r>
            <w:r>
              <w:rPr>
                <w:sz w:val="18"/>
                <w:szCs w:val="18"/>
              </w:rPr>
              <w:t xml:space="preserve"> lag metric</w:t>
            </w:r>
          </w:p>
        </w:tc>
        <w:tc>
          <w:tcPr>
            <w:tcW w:type="dxa" w:w="427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Continue on last snapshot; flag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cmdb_stale</w:t>
            </w:r>
            <w:r>
              <w:rPr>
                <w:sz w:val="18"/>
                <w:szCs w:val="18"/>
              </w:rPr>
              <w:t xml:space="preserve"> on events; P3 platform incident</w:t>
            </w:r>
          </w:p>
        </w:tc>
      </w:tr>
      <w:tr>
        <w:trPr>
          <w:cantSplit/>
          <w:tblHeader w:val="false"/>
        </w:trPr>
        <w:tc>
          <w:tcPr>
            <w:tcW w:type="dxa" w:w="228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Mapping regression</w:t>
            </w:r>
          </w:p>
        </w:tc>
        <w:tc>
          <w:tcPr>
            <w:tcW w:type="dxa" w:w="308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DLQ rate spike for a source after deploy</w:t>
            </w:r>
          </w:p>
        </w:tc>
        <w:tc>
          <w:tcPr>
            <w:tcW w:type="dxa" w:w="427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Automatic rollback of mapping version via GitOps if rejection &gt; 5% for 10 min</w:t>
            </w:r>
          </w:p>
        </w:tc>
      </w:tr>
      <w:tr>
        <w:trPr>
          <w:cantSplit/>
          <w:tblHeader w:val="false"/>
        </w:trPr>
        <w:tc>
          <w:tcPr>
            <w:tcW w:type="dxa" w:w="228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Backpressure</w:t>
            </w:r>
          </w:p>
        </w:tc>
        <w:tc>
          <w:tcPr>
            <w:tcW w:type="dxa" w:w="308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Consumer lag &gt; 50k/partition (KRI)</w:t>
            </w:r>
          </w:p>
        </w:tc>
        <w:tc>
          <w:tcPr>
            <w:tcW w:type="dxa" w:w="427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Autoscale parallelism (TS-12); per-source rate limits protect shared capacity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11. Self-Observability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18"/>
        <w:gridCol w:w="4620"/>
      </w:tblGrid>
      <w:tr>
        <w:trPr>
          <w:cantSplit/>
          <w:tblHeader/>
        </w:trPr>
        <w:tc>
          <w:tcPr>
            <w:tcW w:type="dxa" w:w="501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462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Alert threshold</w:t>
            </w:r>
          </w:p>
        </w:tc>
      </w:tr>
      <w:tr>
        <w:trPr>
          <w:cantSplit/>
          <w:tblHeader w:val="false"/>
        </w:trPr>
        <w:tc>
          <w:tcPr>
            <w:tcW w:type="dxa" w:w="501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kafka_consumergroup_lag{group}</w:t>
            </w:r>
            <w:r>
              <w:rPr>
                <w:sz w:val="18"/>
                <w:szCs w:val="18"/>
              </w:rPr>
              <w:t xml:space="preserve"> per partition</w:t>
            </w:r>
          </w:p>
        </w:tc>
        <w:tc>
          <w:tcPr>
            <w:tcW w:type="dxa" w:w="462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&gt; 50,000 (KRI)</w:t>
            </w:r>
          </w:p>
        </w:tc>
      </w:tr>
      <w:tr>
        <w:trPr>
          <w:cantSplit/>
          <w:tblHeader w:val="false"/>
        </w:trPr>
        <w:tc>
          <w:tcPr>
            <w:tcW w:type="dxa" w:w="501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ingest_dlq_rate{source_id}</w:t>
            </w:r>
          </w:p>
        </w:tc>
        <w:tc>
          <w:tcPr>
            <w:tcW w:type="dxa" w:w="462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&gt; 2% of source volume over 15 min (KRI)</w:t>
            </w:r>
          </w:p>
        </w:tc>
      </w:tr>
      <w:tr>
        <w:trPr>
          <w:cantSplit/>
          <w:tblHeader w:val="false"/>
        </w:trPr>
        <w:tc>
          <w:tcPr>
            <w:tcW w:type="dxa" w:w="501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ingest_dedup_ratio{source_id}</w:t>
            </w:r>
          </w:p>
        </w:tc>
        <w:tc>
          <w:tcPr>
            <w:tcW w:type="dxa" w:w="462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&gt; 30% (indicates double collection)</w:t>
            </w:r>
          </w:p>
        </w:tc>
      </w:tr>
      <w:tr>
        <w:trPr>
          <w:cantSplit/>
          <w:tblHeader w:val="false"/>
        </w:trPr>
        <w:tc>
          <w:tcPr>
            <w:tcW w:type="dxa" w:w="501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entity_resolution_rate{source_id}</w:t>
            </w:r>
          </w:p>
        </w:tc>
        <w:tc>
          <w:tcPr>
            <w:tcW w:type="dxa" w:w="462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&lt; 95%</w:t>
            </w:r>
          </w:p>
        </w:tc>
      </w:tr>
      <w:tr>
        <w:trPr>
          <w:cantSplit/>
          <w:tblHeader w:val="false"/>
        </w:trPr>
        <w:tc>
          <w:tcPr>
            <w:tcW w:type="dxa" w:w="501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flink_checkpoint_duration_p95</w:t>
            </w:r>
          </w:p>
        </w:tc>
        <w:tc>
          <w:tcPr>
            <w:tcW w:type="dxa" w:w="462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&gt; 30 s</w:t>
            </w:r>
          </w:p>
        </w:tc>
      </w:tr>
      <w:tr>
        <w:trPr>
          <w:cantSplit/>
          <w:tblHeader w:val="false"/>
        </w:trPr>
        <w:tc>
          <w:tcPr>
            <w:tcW w:type="dxa" w:w="501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stage12_latency_p99</w:t>
            </w:r>
          </w:p>
        </w:tc>
        <w:tc>
          <w:tcPr>
            <w:tcW w:type="dxa" w:w="462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&gt; 5 s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12. Security Controls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1"/>
        <w:gridCol w:w="7167"/>
      </w:tblGrid>
      <w:tr>
        <w:trPr>
          <w:cantSplit/>
          <w:tblHeader/>
        </w:trPr>
        <w:tc>
          <w:tcPr>
            <w:tcW w:type="dxa" w:w="247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16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Control</w:t>
            </w:r>
          </w:p>
        </w:tc>
      </w:tr>
      <w:tr>
        <w:trPr>
          <w:cantSplit/>
          <w:tblHeader w:val="false"/>
        </w:trPr>
        <w:tc>
          <w:tcPr>
            <w:tcW w:type="dxa" w:w="247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TS03-SEC-001</w:t>
            </w:r>
          </w:p>
        </w:tc>
        <w:tc>
          <w:tcPr>
            <w:tcW w:type="dxa" w:w="716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Kafka listeners mTLS only; ACLs per principal and topic (produce/consume least privilege)</w:t>
            </w:r>
          </w:p>
        </w:tc>
      </w:tr>
      <w:tr>
        <w:trPr>
          <w:cantSplit/>
          <w:tblHeader w:val="false"/>
        </w:trPr>
        <w:tc>
          <w:tcPr>
            <w:tcW w:type="dxa" w:w="247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TS03-SEC-002</w:t>
            </w:r>
          </w:p>
        </w:tc>
        <w:tc>
          <w:tcPr>
            <w:tcW w:type="dxa" w:w="716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Schema Registry write restricted to CI service account</w:t>
            </w:r>
          </w:p>
        </w:tc>
      </w:tr>
      <w:tr>
        <w:trPr>
          <w:cantSplit/>
          <w:tblHeader w:val="false"/>
        </w:trPr>
        <w:tc>
          <w:tcPr>
            <w:tcW w:type="dxa" w:w="247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TS03-SEC-003</w:t>
            </w:r>
          </w:p>
        </w:tc>
        <w:tc>
          <w:tcPr>
            <w:tcW w:type="dxa" w:w="716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Pseudonymisation keys in KMS/HSM; Flink obtains them through workload identity, cached in memory only</w:t>
            </w:r>
          </w:p>
        </w:tc>
      </w:tr>
      <w:tr>
        <w:trPr>
          <w:cantSplit/>
          <w:tblHeader w:val="false"/>
        </w:trPr>
        <w:tc>
          <w:tcPr>
            <w:tcW w:type="dxa" w:w="247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TS03-SEC-004</w:t>
            </w:r>
          </w:p>
        </w:tc>
        <w:tc>
          <w:tcPr>
            <w:tcW w:type="dxa" w:w="716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Object-storage tiered segments encrypted with KMS keys; bucket policy denies public access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13. Acceptance Criteria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2"/>
        <w:gridCol w:w="7376"/>
      </w:tblGrid>
      <w:tr>
        <w:trPr>
          <w:cantSplit/>
          <w:tblHeader/>
        </w:trPr>
        <w:tc>
          <w:tcPr>
            <w:tcW w:type="dxa" w:w="226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37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Criterion</w:t>
            </w:r>
          </w:p>
        </w:tc>
      </w:tr>
      <w:tr>
        <w:trPr>
          <w:cantSplit/>
          <w:tblHeader w:val="false"/>
        </w:trPr>
        <w:tc>
          <w:tcPr>
            <w:tcW w:type="dxa" w:w="226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TS03-AC-001</w:t>
            </w:r>
          </w:p>
        </w:tc>
        <w:tc>
          <w:tcPr>
            <w:tcW w:type="dxa" w:w="737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Golden tests pass for 100% of approved mappings in CI</w:t>
            </w:r>
          </w:p>
        </w:tc>
      </w:tr>
      <w:tr>
        <w:trPr>
          <w:cantSplit/>
          <w:tblHeader w:val="false"/>
        </w:trPr>
        <w:tc>
          <w:tcPr>
            <w:tcW w:type="dxa" w:w="226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TS03-AC-002</w:t>
            </w:r>
          </w:p>
        </w:tc>
        <w:tc>
          <w:tcPr>
            <w:tcW w:type="dxa" w:w="737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Injected duplicates (same record sent via two collectors) are removed ≥ 99.9%</w:t>
            </w:r>
          </w:p>
        </w:tc>
      </w:tr>
      <w:tr>
        <w:trPr>
          <w:cantSplit/>
          <w:tblHeader w:val="false"/>
        </w:trPr>
        <w:tc>
          <w:tcPr>
            <w:tcW w:type="dxa" w:w="226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TS03-AC-003</w:t>
            </w:r>
          </w:p>
        </w:tc>
        <w:tc>
          <w:tcPr>
            <w:tcW w:type="dxa" w:w="737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Out-of-order injection of ±8 s produces identical windowed outputs as in-order input</w:t>
            </w:r>
          </w:p>
        </w:tc>
      </w:tr>
      <w:tr>
        <w:trPr>
          <w:cantSplit/>
          <w:tblHeader w:val="false"/>
        </w:trPr>
        <w:tc>
          <w:tcPr>
            <w:tcW w:type="dxa" w:w="226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TS03-AC-004</w:t>
            </w:r>
          </w:p>
        </w:tc>
        <w:tc>
          <w:tcPr>
            <w:tcW w:type="dxa" w:w="737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Killing a TaskManager mid-run produces zero duplicate and zero missing events on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norm.events</w:t>
            </w:r>
            <w:r>
              <w:rPr>
                <w:sz w:val="18"/>
                <w:szCs w:val="18"/>
              </w:rPr>
              <w:t xml:space="preserve"> (count reconciliation)</w:t>
            </w:r>
          </w:p>
        </w:tc>
      </w:tr>
      <w:tr>
        <w:trPr>
          <w:cantSplit/>
          <w:tblHeader w:val="false"/>
        </w:trPr>
        <w:tc>
          <w:tcPr>
            <w:tcW w:type="dxa" w:w="226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TS03-AC-005</w:t>
            </w:r>
          </w:p>
        </w:tc>
        <w:tc>
          <w:tcPr>
            <w:tcW w:type="dxa" w:w="737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Entity resolution ≥ 95% across P1 sources on production replay</w:t>
            </w:r>
          </w:p>
        </w:tc>
      </w:tr>
      <w:tr>
        <w:trPr>
          <w:cantSplit/>
          <w:tblHeader w:val="false"/>
        </w:trPr>
        <w:tc>
          <w:tcPr>
            <w:tcW w:type="dxa" w:w="226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TS03-AC-006</w:t>
            </w:r>
          </w:p>
        </w:tc>
        <w:tc>
          <w:tcPr>
            <w:tcW w:type="dxa" w:w="737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PII scan of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norm.events</w:t>
            </w:r>
            <w:r>
              <w:rPr>
                <w:sz w:val="18"/>
                <w:szCs w:val="18"/>
              </w:rPr>
              <w:t xml:space="preserve"> sample (1M events) finds zero raw values for descriptor-listed PII fields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14. Assumptions and Open Issues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7"/>
        <w:gridCol w:w="7931"/>
      </w:tblGrid>
      <w:tr>
        <w:trPr>
          <w:cantSplit/>
          <w:tblHeader/>
        </w:trPr>
        <w:tc>
          <w:tcPr>
            <w:tcW w:type="dxa" w:w="170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93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</w:tr>
      <w:tr>
        <w:trPr>
          <w:cantSplit/>
          <w:tblHeader w:val="false"/>
        </w:trPr>
        <w:tc>
          <w:tcPr>
            <w:tcW w:type="dxa" w:w="170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A-01</w:t>
            </w:r>
          </w:p>
        </w:tc>
        <w:tc>
          <w:tcPr>
            <w:tcW w:type="dxa" w:w="793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CMDB can deliver change webhooks; otherwise 15-minute delta polling is used</w:t>
            </w:r>
          </w:p>
        </w:tc>
      </w:tr>
      <w:tr>
        <w:trPr>
          <w:cantSplit/>
          <w:tblHeader w:val="false"/>
        </w:trPr>
        <w:tc>
          <w:tcPr>
            <w:tcW w:type="dxa" w:w="170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OI-01</w:t>
            </w:r>
          </w:p>
        </w:tc>
        <w:tc>
          <w:tcPr>
            <w:tcW w:type="dxa" w:w="793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Drain3 templates may drift after major releases — decide whether templates are versioned per service release</w:t>
            </w:r>
          </w:p>
        </w:tc>
      </w:tr>
      <w:tr>
        <w:trPr>
          <w:cantSplit/>
          <w:tblHeader w:val="false"/>
        </w:trPr>
        <w:tc>
          <w:tcPr>
            <w:tcW w:type="dxa" w:w="170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OI-02</w:t>
            </w:r>
          </w:p>
        </w:tc>
        <w:tc>
          <w:tcPr>
            <w:tcW w:type="dxa" w:w="793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Separate Kafka cluster for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decision.*</w:t>
            </w:r>
            <w:r>
              <w:rPr>
                <w:sz w:val="18"/>
                <w:szCs w:val="18"/>
              </w:rPr>
              <w:t xml:space="preserve"> and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audit.*</w:t>
            </w:r>
            <w:r>
              <w:rPr>
                <w:sz w:val="18"/>
                <w:szCs w:val="18"/>
              </w:rPr>
              <w:t xml:space="preserve"> topics (see TS-01 OI-01)</w:t>
            </w:r>
          </w:p>
        </w:tc>
      </w:tr>
    </w:tbl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color w:val="595959"/>
        <w:sz w:val="16"/>
        <w:szCs w:val="16"/>
      </w:rPr>
      <w:t xml:space="preserve">Sakul Gupta · Confidential</w:t>
    </w:r>
    <w:r>
      <w:rPr>
        <w:color w:val="595959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9D4" w:sz="4" w:space="4"/>
      </w:pBdr>
      <w:tabs>
        <w:tab w:val="right" w:pos="9638"/>
      </w:tabs>
    </w:pPr>
    <w:r>
      <w:rPr>
        <w:color w:val="595959"/>
        <w:sz w:val="16"/>
        <w:szCs w:val="16"/>
      </w:rPr>
      <w:t xml:space="preserve">TS-03 · Ingestion, Normalisation and Stream Processing</w:t>
    </w:r>
    <w:r>
      <w:rPr>
        <w:color w:val="595959"/>
        <w:sz w:val="16"/>
        <w:szCs w:val="16"/>
      </w:rPr>
      <w:t xml:space="preserve">	Technical Specification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Calibri" w:cs="Calibri" w:eastAsia="Calibri" w:hAnsi="Calibri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Calibri" w:cs="Calibri" w:eastAsia="Calibri" w:hAnsi="Calibri"/>
      <w:b/>
      <w:bCs/>
      <w:color w:val="333F4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TS-03 Ingestion, Normalisation and Stream Processing</dc:title>
  <dc:creator>Sakul Gupta</dc:creator>
  <cp:lastModifiedBy>Un-named</cp:lastModifiedBy>
  <cp:revision>1</cp:revision>
  <dcterms:created xsi:type="dcterms:W3CDTF">2026-10-14T09:35:30.587Z</dcterms:created>
  <dcterms:modified xsi:type="dcterms:W3CDTF">2026-10-14T09:35:30.587Z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