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TS-04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Feature Engineering and Feature Store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feature catalogue, windowing and computation logic in Flink, the Redis online Feature Store and the Parquet offline store, including key design, TTLs, serving API and training-data materialisation.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6331"/>
      </w:tblGrid>
      <w:tr>
        <w:trPr>
          <w:cantSplit/>
          <w:tblHeader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TS-04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04 Pipeline (stages 3–4, Feature Category Reference) · TD-02 Stages 3–4 · 08 (Feature Store sizing)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3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Feature Catalogue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Volumetric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Statistical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Relational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5.4 Temporal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5.5 Contextual (point in time)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5.6 Behavioural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Feature Registry Definition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features/vol.error_rate.yaml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Window Semantics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Feature Vector Message (features.vectors)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Online Store (Redis) Design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9.1 Key space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9.2 Cluster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Serving API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Offline Store and Training Materialisation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15.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16.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component converts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norm.events</w:t>
      </w:r>
      <w:r>
        <w:t xml:space="preserve"> into per-entity feature vectors at 1-minute, 5-minute and 1-hour windows (stage 3), serves them with sub-5 ms latency to ML inference (stage 4, online store), and materialises them with labels for training (offline store). It also computes baseline deltas using baseline statistics published by TS-06.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3413"/>
        <w:gridCol w:w="3991"/>
      </w:tblGrid>
      <w:tr>
        <w:trPr>
          <w:cantSplit/>
          <w:tblHeader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feature-extract</w:t>
            </w:r>
            <w:r>
              <w:rPr>
                <w:sz w:val="18"/>
                <w:szCs w:val="18"/>
              </w:rPr>
              <w:t xml:space="preserve"> job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(event time, sliding/tumbling windows)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Compute six feature categories per entity and window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Graph aggregator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keyed by (src_entity, dst_entity)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Edge weights for service call graph and peer entropy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Online store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Cluster 7.x, 6–18 nodes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Latest vectors, sequence history, baseline deltas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store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Parquet on object storage, Iceberg table format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Point-in-time-correct training data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registry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YAML definitions in Git + generated documentation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definition per feature, used by stream job and training code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Serving API</w:t>
            </w:r>
          </w:p>
        </w:tc>
        <w:tc>
          <w:tcPr>
            <w:tcW w:type="dxa" w:w="34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gRPC service (stateless)</w:t>
            </w:r>
          </w:p>
        </w:tc>
        <w:tc>
          <w:tcPr>
            <w:tcW w:type="dxa" w:w="39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Batch fetch of vectors and sequences for inference and agents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5221"/>
      </w:tblGrid>
      <w:tr>
        <w:trPr>
          <w:cantSplit/>
          <w:tblHeader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feature definition drives both streaming and offline computation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Prevents training/serving skew</w:t>
            </w:r>
          </w:p>
        </w:tc>
      </w:tr>
      <w:tr>
        <w:trPr>
          <w:cantSplit/>
          <w:tblHeader w:val="false"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Sliding windows with incremental aggregation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windows slide every 15 s; 5m every 1m; 1h every 5m — fresh scores without full recomputation</w:t>
            </w:r>
          </w:p>
        </w:tc>
      </w:tr>
      <w:tr>
        <w:trPr>
          <w:cantSplit/>
          <w:tblHeader w:val="false"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Hash-tagged Redis keys per entity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keys for an entity co-locate in one hash slot; multi-key reads are single-node</w:t>
            </w:r>
          </w:p>
        </w:tc>
      </w:tr>
      <w:tr>
        <w:trPr>
          <w:cantSplit/>
          <w:tblHeader w:val="false"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delta computed at write time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reads a ready delta; avoids per-request baseline lookup</w:t>
            </w:r>
          </w:p>
        </w:tc>
      </w:tr>
      <w:tr>
        <w:trPr>
          <w:cantSplit/>
          <w:tblHeader w:val="false"/>
        </w:trPr>
        <w:tc>
          <w:tcPr>
            <w:tcW w:type="dxa" w:w="44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Iceberg offline store with event-time partitioning</w:t>
            </w:r>
          </w:p>
        </w:tc>
        <w:tc>
          <w:tcPr>
            <w:tcW w:type="dxa" w:w="52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Point-in-time joins with labels; time travel for reproducible training sets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7185"/>
      </w:tblGrid>
      <w:tr>
        <w:trPr>
          <w:cantSplit/>
          <w:tblHeader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TS04-NFR-001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Online read P99 ≤ 5 ms for a single entity vector; ≤ 10 ms for a 100-entity batch (KRI threshold 10 ms)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TS04-NFR-002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freshness: window close → vector in online store ≤ 5 s P99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TS04-NFR-003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Online store availability ≥ 99.9%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TS04-NFR-004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materialisation complete for day D by D+1 02:00 UTC</w:t>
            </w:r>
          </w:p>
        </w:tc>
      </w:tr>
      <w:tr>
        <w:trPr>
          <w:cantSplit/>
          <w:tblHeader w:val="false"/>
        </w:trPr>
        <w:tc>
          <w:tcPr>
            <w:tcW w:type="dxa" w:w="24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TS04-NFR-005</w:t>
            </w:r>
          </w:p>
        </w:tc>
        <w:tc>
          <w:tcPr>
            <w:tcW w:type="dxa" w:w="71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Training/serving parity: ≤ 0.1% of features differ beyond 1e-6 relative error on reconciliation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Feature Catalogue</w:t>
      </w:r>
    </w:p>
    <w:p>
      <w:pPr>
        <w:spacing w:after="120"/>
      </w:pPr>
      <w:r>
        <w:t xml:space="preserve">Feature names follow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&lt;category&gt;.&lt;name&gt;.&lt;window&gt;</w:t>
      </w:r>
      <w:r>
        <w:t xml:space="preserve">. The catalogue below is the baseline set (≈ 140 features per entity after window expansion); entity classes subscribe to subsets via the registry.</w:t>
      </w:r>
    </w:p>
    <w:p>
      <w:pPr>
        <w:pStyle w:val="Heading2"/>
      </w:pPr>
      <w:r>
        <w:t xml:space="preserve">5.1 Volumetric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9"/>
        <w:gridCol w:w="1395"/>
        <w:gridCol w:w="3039"/>
        <w:gridCol w:w="2205"/>
      </w:tblGrid>
      <w:tr>
        <w:trPr>
          <w:cantSplit/>
          <w:tblHeader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vol.event_count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 1h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Count of events for entity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vol.request_rate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Requests/s (http, rpc, db)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service, apigw, db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vol.error_rate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 1h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Failure-outcome events / total events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service, apigw, db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vol.bytes_out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vol.bytes_in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Sum of bytes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host, network device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vol.conn_count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vol.new_conn_rate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Active connections; new connections/s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host, lb, db</w:t>
            </w:r>
          </w:p>
        </w:tc>
      </w:tr>
      <w:tr>
        <w:trPr>
          <w:cantSplit/>
          <w:tblHeader w:val="false"/>
        </w:trPr>
        <w:tc>
          <w:tcPr>
            <w:tcW w:type="dxa" w:w="29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vol.log_error_count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</w:t>
            </w:r>
          </w:p>
        </w:tc>
        <w:tc>
          <w:tcPr>
            <w:tcW w:type="dxa" w:w="30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Count of log events with severity ≥ 70</w:t>
            </w:r>
          </w:p>
        </w:tc>
        <w:tc>
          <w:tcPr>
            <w:tcW w:type="dxa" w:w="22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Statistical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1394"/>
        <w:gridCol w:w="4594"/>
      </w:tblGrid>
      <w:tr>
        <w:trPr>
          <w:cantSplit/>
          <w:tblHeader/>
        </w:trPr>
        <w:tc>
          <w:tcPr>
            <w:tcW w:type="dxa" w:w="3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45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stat.latency_mean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stat.latency_std</w:t>
            </w:r>
          </w:p>
        </w:tc>
        <w:tc>
          <w:tcPr>
            <w:tcW w:type="dxa" w:w="1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 1h</w:t>
            </w:r>
          </w:p>
        </w:tc>
        <w:tc>
          <w:tcPr>
            <w:tcW w:type="dxa" w:w="45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Welford online mean/variance of duration</w:t>
            </w:r>
          </w:p>
        </w:tc>
      </w:tr>
      <w:tr>
        <w:trPr>
          <w:cantSplit/>
          <w:tblHeader w:val="false"/>
        </w:trPr>
        <w:tc>
          <w:tcPr>
            <w:tcW w:type="dxa" w:w="3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stat.latency_p50/p95/p99</w:t>
            </w:r>
          </w:p>
        </w:tc>
        <w:tc>
          <w:tcPr>
            <w:tcW w:type="dxa" w:w="1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 1h</w:t>
            </w:r>
          </w:p>
        </w:tc>
        <w:tc>
          <w:tcPr>
            <w:tcW w:type="dxa" w:w="45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t-digest (compression 100) quantiles</w:t>
            </w:r>
          </w:p>
        </w:tc>
      </w:tr>
      <w:tr>
        <w:trPr>
          <w:cantSplit/>
          <w:tblHeader w:val="false"/>
        </w:trPr>
        <w:tc>
          <w:tcPr>
            <w:tcW w:type="dxa" w:w="3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stat.interarrival_mean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stat.interarrival_cv</w:t>
            </w:r>
          </w:p>
        </w:tc>
        <w:tc>
          <w:tcPr>
            <w:tcW w:type="dxa" w:w="1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</w:t>
            </w:r>
          </w:p>
        </w:tc>
        <w:tc>
          <w:tcPr>
            <w:tcW w:type="dxa" w:w="45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Mean and coefficient of variation of inter-arrival time</w:t>
            </w:r>
          </w:p>
        </w:tc>
      </w:tr>
      <w:tr>
        <w:trPr>
          <w:cantSplit/>
          <w:tblHeader w:val="false"/>
        </w:trPr>
        <w:tc>
          <w:tcPr>
            <w:tcW w:type="dxa" w:w="3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stat.metric_&lt;name&gt;_mean/max/slope</w:t>
            </w:r>
          </w:p>
        </w:tc>
        <w:tc>
          <w:tcPr>
            <w:tcW w:type="dxa" w:w="1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 1h</w:t>
            </w:r>
          </w:p>
        </w:tc>
        <w:tc>
          <w:tcPr>
            <w:tcW w:type="dxa" w:w="45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curated metric (CPU, memory, queue depth, lag…); slope = OLS over window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Relational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6"/>
        <w:gridCol w:w="1491"/>
        <w:gridCol w:w="4911"/>
      </w:tblGrid>
      <w:tr>
        <w:trPr>
          <w:cantSplit/>
          <w:tblHeader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Windows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rel.out_degree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rel.in_degree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 1h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Distinct callees / callers</w:t>
            </w:r>
          </w:p>
        </w:tc>
      </w:tr>
      <w:tr>
        <w:trPr>
          <w:cantSplit/>
          <w:tblHeader w:val="false"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rel.peer_entropy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 1h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Shannon entropy of traffic share across peers: −Σ pᵢ log₂ pᵢ</w:t>
            </w:r>
          </w:p>
        </w:tc>
      </w:tr>
      <w:tr>
        <w:trPr>
          <w:cantSplit/>
          <w:tblHeader w:val="false"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rel.new_peer_ratio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Peers not seen in prior 7 days / total peers</w:t>
            </w:r>
          </w:p>
        </w:tc>
      </w:tr>
      <w:tr>
        <w:trPr>
          <w:cantSplit/>
          <w:tblHeader w:val="false"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rel.fanout_change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(out_degree₅ₘ − out_degree mean over 1h) / max(1, std)</w:t>
            </w:r>
          </w:p>
        </w:tc>
      </w:tr>
      <w:tr>
        <w:trPr>
          <w:cantSplit/>
          <w:tblHeader w:val="false"/>
        </w:trPr>
        <w:tc>
          <w:tcPr>
            <w:tcW w:type="dxa" w:w="32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rel.edge_weight[dst]</w:t>
            </w:r>
          </w:p>
        </w:tc>
        <w:tc>
          <w:tcPr>
            <w:tcW w:type="dxa" w:w="14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 5m</w:t>
            </w:r>
          </w:p>
        </w:tc>
        <w:tc>
          <w:tcPr>
            <w:tcW w:type="dxa" w:w="49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Calls and error ratio per edge (written to graph keys, not the dense vector)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Temporal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4"/>
        <w:gridCol w:w="5774"/>
      </w:tblGrid>
      <w:tr>
        <w:trPr>
          <w:cantSplit/>
          <w:tblHeader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tmp.hour_sin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tmp.hour_cos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Cyclic encoding of hour of day (local business time zone of entity)</w:t>
            </w:r>
          </w:p>
        </w:tc>
      </w:tr>
      <w:tr>
        <w:trPr>
          <w:cantSplit/>
          <w:tblHeader w:val="false"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tmp.dow_sin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tmp.dow_cos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Cyclic encoding of day of week</w:t>
            </w:r>
          </w:p>
        </w:tc>
      </w:tr>
      <w:tr>
        <w:trPr>
          <w:cantSplit/>
          <w:tblHeader w:val="false"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tmp.days_since_seen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Days since entity last observed (new-entity indicator)</w:t>
            </w:r>
          </w:p>
        </w:tc>
      </w:tr>
      <w:tr>
        <w:trPr>
          <w:cantSplit/>
          <w:tblHeader w:val="false"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tmp.change_velocity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Count of change records on entity in 24 h</w:t>
            </w:r>
          </w:p>
        </w:tc>
      </w:tr>
      <w:tr>
        <w:trPr>
          <w:cantSplit/>
          <w:tblHeader w:val="false"/>
        </w:trPr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tmp.mins_since_last_anomaly</w:t>
            </w:r>
          </w:p>
        </w:tc>
        <w:tc>
          <w:tcPr>
            <w:tcW w:type="dxa" w:w="5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  <w:r>
              <w:rPr>
                <w:sz w:val="18"/>
                <w:szCs w:val="18"/>
              </w:rPr>
              <w:t xml:space="preserve"> feedback (capped at 10,080)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Contextual (point in time)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0"/>
        <w:gridCol w:w="5778"/>
      </w:tblGrid>
      <w:tr>
        <w:trPr>
          <w:cantSplit/>
          <w:tblHeader/>
        </w:trPr>
        <w:tc>
          <w:tcPr>
            <w:tcW w:type="dxa" w:w="3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ctx.deployment_active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if deployment within last 30 min on entity or direct dependency</w:t>
            </w:r>
          </w:p>
        </w:tc>
      </w:tr>
      <w:tr>
        <w:trPr>
          <w:cantSplit/>
          <w:tblHeader w:val="false"/>
        </w:trPr>
        <w:tc>
          <w:tcPr>
            <w:tcW w:type="dxa" w:w="3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ctx.maintenance_active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if inside maintenance window</w:t>
            </w:r>
          </w:p>
        </w:tc>
      </w:tr>
      <w:tr>
        <w:trPr>
          <w:cantSplit/>
          <w:tblHeader w:val="false"/>
        </w:trPr>
        <w:tc>
          <w:tcPr>
            <w:tcW w:type="dxa" w:w="3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ctx.business_hours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if within entity's business calendar</w:t>
            </w:r>
          </w:p>
        </w:tc>
      </w:tr>
      <w:tr>
        <w:trPr>
          <w:cantSplit/>
          <w:tblHeader w:val="false"/>
        </w:trPr>
        <w:tc>
          <w:tcPr>
            <w:tcW w:type="dxa" w:w="3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ctx.tier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ctx.criticality</w:t>
            </w:r>
          </w:p>
        </w:tc>
        <w:tc>
          <w:tcPr>
            <w:tcW w:type="dxa" w:w="5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tier (1–4) and criticality (1–5)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5.6 Behavioural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6"/>
        <w:gridCol w:w="5672"/>
      </w:tblGrid>
      <w:tr>
        <w:trPr>
          <w:cantSplit/>
          <w:tblHeader/>
        </w:trPr>
        <w:tc>
          <w:tcPr>
            <w:tcW w:type="dxa" w:w="3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  <w:tblHeader w:val="false"/>
        </w:trPr>
        <w:tc>
          <w:tcPr>
            <w:tcW w:type="dxa" w:w="3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beh.z_individual[f]</w:t>
            </w:r>
          </w:p>
        </w:tc>
        <w:tc>
          <w:tcPr>
            <w:tcW w:type="dxa" w:w="5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(x_f − μ_individual,f,context) / max(σ_individual,f,context, ε) for each curated feature f</w:t>
            </w:r>
          </w:p>
        </w:tc>
      </w:tr>
      <w:tr>
        <w:trPr>
          <w:cantSplit/>
          <w:tblHeader w:val="false"/>
        </w:trPr>
        <w:tc>
          <w:tcPr>
            <w:tcW w:type="dxa" w:w="3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beh.z_peer[f]</w:t>
            </w:r>
          </w:p>
        </w:tc>
        <w:tc>
          <w:tcPr>
            <w:tcW w:type="dxa" w:w="5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Same against peer-group statistics</w:t>
            </w:r>
          </w:p>
        </w:tc>
      </w:tr>
      <w:tr>
        <w:trPr>
          <w:cantSplit/>
          <w:tblHeader w:val="false"/>
        </w:trPr>
        <w:tc>
          <w:tcPr>
            <w:tcW w:type="dxa" w:w="3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beh.wow_pct[f]</w:t>
            </w:r>
          </w:p>
        </w:tc>
        <w:tc>
          <w:tcPr>
            <w:tcW w:type="dxa" w:w="5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% change vs. same window one week earlier</w:t>
            </w:r>
          </w:p>
        </w:tc>
      </w:tr>
      <w:tr>
        <w:trPr>
          <w:cantSplit/>
          <w:tblHeader w:val="false"/>
        </w:trPr>
        <w:tc>
          <w:tcPr>
            <w:tcW w:type="dxa" w:w="3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beh.auth_fail_ratio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beh.offhours_access</w:t>
            </w:r>
          </w:p>
        </w:tc>
        <w:tc>
          <w:tcPr>
            <w:tcW w:type="dxa" w:w="5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entities (users, service accounts)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color w:val="9B2C2C"/>
          <w:sz w:val="18"/>
          <w:szCs w:val="18"/>
        </w:rPr>
        <w:t xml:space="preserve">ε</w:t>
      </w:r>
      <w:r>
        <w:t xml:space="preserve"> = 1% of the population mean for the feature, to avoid division blow-up on flat series. Baseline statistics are read from broadcast state published by TS-06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ref.baselines</w:t>
      </w:r>
      <w:r>
        <w:t xml:space="preserve">).</w:t>
      </w:r>
    </w:p>
    <w:p>
      <w:pPr>
        <w:pStyle w:val="Heading1"/>
      </w:pPr>
      <w:r>
        <w:t xml:space="preserve">6. Feature Registry Definition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features/vol.error_rate.yaml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name: vol.error_rate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category: volumetric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windows: [1m, 5m, 1h]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entity_classes: [cmdb_ci_service, cmdb_ci_api_gateway, cmdb_ci_db_instance]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input_filter: "event.outcome != null"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aggregation: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type: ratio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numerator:   "count(event.outcome == 'failure')"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denominator: "count(*)"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min_denominator: 20  # below this emit null + quality flag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dtype: float32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null_policy: carry_forward_1_window_then_null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curated_for_spc: true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pii: false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owner: ml-engineering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version: 2</w:t>
      </w:r>
    </w:p>
    <w:p>
      <w:pPr>
        <w:pStyle w:val="Heading1"/>
      </w:pPr>
      <w:r>
        <w:t xml:space="preserve">7. Window Semantics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1650"/>
        <w:gridCol w:w="1395"/>
        <w:gridCol w:w="2495"/>
        <w:gridCol w:w="2570"/>
      </w:tblGrid>
      <w:tr>
        <w:trPr>
          <w:cantSplit/>
          <w:tblHeader/>
        </w:trPr>
        <w:tc>
          <w:tcPr>
            <w:tcW w:type="dxa" w:w="15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Allowed lateness</w:t>
            </w:r>
          </w:p>
        </w:tc>
        <w:tc>
          <w:tcPr>
            <w:tcW w:type="dxa" w:w="25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Emit</w:t>
            </w:r>
          </w:p>
        </w:tc>
      </w:tr>
      <w:tr>
        <w:trPr>
          <w:cantSplit/>
          <w:tblHeader w:val="false"/>
        </w:trPr>
        <w:tc>
          <w:tcPr>
            <w:tcW w:type="dxa" w:w="15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1m</w:t>
            </w:r>
          </w:p>
        </w:tc>
        <w:tc>
          <w:tcPr>
            <w:tcW w:type="dxa" w:w="1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Sliding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15 s</w:t>
            </w:r>
          </w:p>
        </w:tc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min</w:t>
            </w:r>
          </w:p>
        </w:tc>
        <w:tc>
          <w:tcPr>
            <w:tcW w:type="dxa" w:w="25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watermark pass</w:t>
            </w:r>
          </w:p>
        </w:tc>
      </w:tr>
      <w:tr>
        <w:trPr>
          <w:cantSplit/>
          <w:tblHeader w:val="false"/>
        </w:trPr>
        <w:tc>
          <w:tcPr>
            <w:tcW w:type="dxa" w:w="15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5m</w:t>
            </w:r>
          </w:p>
        </w:tc>
        <w:tc>
          <w:tcPr>
            <w:tcW w:type="dxa" w:w="1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Sliding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min</w:t>
            </w:r>
          </w:p>
        </w:tc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min</w:t>
            </w:r>
          </w:p>
        </w:tc>
        <w:tc>
          <w:tcPr>
            <w:tcW w:type="dxa" w:w="25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watermark pass</w:t>
            </w:r>
          </w:p>
        </w:tc>
      </w:tr>
      <w:tr>
        <w:trPr>
          <w:cantSplit/>
          <w:tblHeader w:val="false"/>
        </w:trPr>
        <w:tc>
          <w:tcPr>
            <w:tcW w:type="dxa" w:w="152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16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Sliding</w:t>
            </w:r>
          </w:p>
        </w:tc>
        <w:tc>
          <w:tcPr>
            <w:tcW w:type="dxa" w:w="13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 min</w:t>
            </w:r>
          </w:p>
        </w:tc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min</w:t>
            </w:r>
          </w:p>
        </w:tc>
        <w:tc>
          <w:tcPr>
            <w:tcW w:type="dxa" w:w="257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watermark pass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Late events within allowed lateness trigger a window update (upsert in online store, new version in offline store). Late events beyond lateness are counted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feature_late_dropped_total</w:t>
      </w:r>
      <w:r>
        <w:t xml:space="preserve">) and excluded.</w:t>
      </w:r>
    </w:p>
    <w:p>
      <w:pPr>
        <w:pStyle w:val="Heading1"/>
      </w:pPr>
      <w:r>
        <w:t xml:space="preserve">8. Feature Vector Message (features.vectors)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record FeatureVector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feature_vector_id;  // &lt;entity_id&gt;:&lt;window&gt;:&lt;window_end_ms&gt;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entity_id;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entity_class;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window;  // "1m" | "5m" | "1h"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window_start_ms;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window_end_ms;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registry_version;  // hash of feature registry used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array&lt;string&gt; feature_names;  // dictionary-encoded per registry_version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array&lt;float&gt;  values;  // NaN for null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array&lt;string&gt; quality_flags;  // e.g. low_denominator, cmdb_stale, late_update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baseline_maturity;  // Bootstrap-0 | Bootstrap-1 | Bootstrap-2 | Mature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map&lt;string&gt; context;  // deployment_active, maintenance_active, change_id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Style w:val="Heading1"/>
      </w:pPr>
      <w:r>
        <w:t xml:space="preserve">9. Online Store (Redis) Design</w:t>
      </w:r>
    </w:p>
    <w:p>
      <w:pPr>
        <w:pStyle w:val="Heading2"/>
      </w:pPr>
      <w:r>
        <w:t xml:space="preserve">9.1 Key space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5"/>
        <w:gridCol w:w="1920"/>
        <w:gridCol w:w="3302"/>
        <w:gridCol w:w="2081"/>
      </w:tblGrid>
      <w:tr>
        <w:trPr>
          <w:cantSplit/>
          <w:tblHeader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fv:{&lt;entity_id&gt;}:&lt;window&gt;:latest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name→value for latest vector + window_end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× window (min 2 h for 1h)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fv:{&lt;entity_id&gt;}:&lt;window&gt;:seq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Stream (XADD, MAXLEN ~)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Sequence of last N vectors (1m: 120, 5m: 288) for LSTM / Transformer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h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bd:{&lt;entity_id&gt;}:&lt;window&gt;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deltas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beh.z_*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 × window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gr:{&lt;entity_id&gt;}:edges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dst_entity → packed(calls, err_ratio, p95) for last 5m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 min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ctx:{&lt;entity_id&gt;}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Hash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Context flags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 h</w:t>
            </w:r>
          </w:p>
        </w:tc>
      </w:tr>
      <w:tr>
        <w:trPr>
          <w:cantSplit/>
          <w:tblHeader w:val="false"/>
        </w:trPr>
        <w:tc>
          <w:tcPr>
            <w:tcW w:type="dxa" w:w="233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hist:{&lt;entity_id&gt;}:1d</w:t>
            </w:r>
          </w:p>
        </w:tc>
        <w:tc>
          <w:tcPr>
            <w:tcW w:type="dxa" w:w="19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Sorted set</w:t>
            </w:r>
          </w:p>
        </w:tc>
        <w:tc>
          <w:tcPr>
            <w:tcW w:type="dxa" w:w="33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Daily summaries for 30 days</w:t>
            </w:r>
          </w:p>
        </w:tc>
        <w:tc>
          <w:tcPr>
            <w:tcW w:type="dxa" w:w="2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 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Curly braces form the hash tag so all keys for an entity share a slot.</w:t>
      </w:r>
    </w:p>
    <w:p>
      <w:pPr>
        <w:pStyle w:val="Heading2"/>
      </w:pPr>
      <w:r>
        <w:t xml:space="preserve">9.2 Cluster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7024"/>
      </w:tblGrid>
      <w:tr>
        <w:trPr>
          <w:cantSplit/>
          <w:tblHeader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Nodes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 primaries + 6 replicas baseline (3 AZs); scale to 18 primaries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size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 vCPU, 32 GiB,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maxmemory</w:t>
            </w:r>
            <w:r>
              <w:rPr>
                <w:sz w:val="18"/>
                <w:szCs w:val="18"/>
              </w:rPr>
              <w:t xml:space="preserve"> 24 GiB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maxmemory-policy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volatile-ttl</w:t>
            </w:r>
            <w:r>
              <w:rPr>
                <w:sz w:val="18"/>
                <w:szCs w:val="18"/>
              </w:rPr>
              <w:t xml:space="preserve"> (all keys carry TTLs)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Persistence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AOF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everysec</w:t>
            </w:r>
            <w:r>
              <w:rPr>
                <w:sz w:val="18"/>
                <w:szCs w:val="18"/>
              </w:rPr>
              <w:t xml:space="preserve"> on replicas only; RDB nightly snapshot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Cluster-aware, pipelining, connection pool 64/instance, read-from-replica for sequences</w:t>
            </w:r>
          </w:p>
        </w:tc>
      </w:tr>
      <w:tr>
        <w:trPr>
          <w:cantSplit/>
          <w:tblHeader w:val="false"/>
        </w:trPr>
        <w:tc>
          <w:tcPr>
            <w:tcW w:type="dxa" w:w="26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Sizing rule</w:t>
            </w:r>
          </w:p>
        </w:tc>
        <w:tc>
          <w:tcPr>
            <w:tcW w:type="dxa" w:w="70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≈ 6 KiB per entity per window (latest + deltas) + 0.8 KiB × sequence length; 200k entities ≈ 160 GiB primary memory incl. overhead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Serving API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service FeatureService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rpc GetVectors(GetVectorsRequest) returns (GetVectorsResponse);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rpc GetSequence(GetSequenceRequest) returns (GetSequenceResponse);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rpc GetGraphSnapshot(GetGraphRequest) returns (GraphSnapshot);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message GetVectorsRequest { repeated string entity_ids = 1; string window = 2; repeated string features = 3; bool include_deltas = 4;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message GetSequenceRequest { string entity_id = 1; string window = 2; int32 length = 3; }  // max 288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message GetGraphRequest { repeated string seed_entities = 1; int32 hops = 2; }  // max hops 2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// Errors: NOT_FOUND (no vector), FAILED_PRECONDITION (registry_version mismatch), DEADLINE_EXCEEDED (default 20 ms)</w:t>
      </w:r>
    </w:p>
    <w:p>
      <w:pPr>
        <w:spacing w:after="120"/>
      </w:pPr>
      <w:r>
        <w:t xml:space="preserve">Callers: ML inference (TS-05), Diagnostic agent (TS-15, read-only). Rate limits per caller identity are enforced at the service.</w:t>
      </w:r>
    </w:p>
    <w:p>
      <w:pPr>
        <w:pStyle w:val="Heading1"/>
      </w:pPr>
      <w:r>
        <w:t xml:space="preserve">11. Offline Store and Training Materialisation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9"/>
        <w:gridCol w:w="2737"/>
        <w:gridCol w:w="3439"/>
        <w:gridCol w:w="1333"/>
      </w:tblGrid>
      <w:tr>
        <w:trPr>
          <w:cantSplit/>
          <w:tblHeader/>
        </w:trPr>
        <w:tc>
          <w:tcPr>
            <w:tcW w:type="dxa" w:w="21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7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34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3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features_5m</w:t>
            </w:r>
            <w:r>
              <w:rPr>
                <w:sz w:val="18"/>
                <w:szCs w:val="18"/>
              </w:rPr>
              <w:t xml:space="preserve"> (Iceberg)</w:t>
            </w:r>
          </w:p>
        </w:tc>
        <w:tc>
          <w:tcPr>
            <w:tcW w:type="dxa" w:w="27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day(window_end), bucket(64, entity_id)</w:t>
            </w:r>
          </w:p>
        </w:tc>
        <w:tc>
          <w:tcPr>
            <w:tcW w:type="dxa" w:w="34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5m vectors</w:t>
            </w:r>
          </w:p>
        </w:tc>
        <w:tc>
          <w:tcPr>
            <w:tcW w:type="dxa" w:w="13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features_1h</w:t>
            </w:r>
          </w:p>
        </w:tc>
        <w:tc>
          <w:tcPr>
            <w:tcW w:type="dxa" w:w="27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day(window_end)</w:t>
            </w:r>
          </w:p>
        </w:tc>
        <w:tc>
          <w:tcPr>
            <w:tcW w:type="dxa" w:w="34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1h vectors</w:t>
            </w:r>
          </w:p>
        </w:tc>
        <w:tc>
          <w:tcPr>
            <w:tcW w:type="dxa" w:w="13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detections</w:t>
            </w:r>
          </w:p>
        </w:tc>
        <w:tc>
          <w:tcPr>
            <w:tcW w:type="dxa" w:w="27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day(ts)</w:t>
            </w:r>
          </w:p>
        </w:tc>
        <w:tc>
          <w:tcPr>
            <w:tcW w:type="dxa" w:w="34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  <w:r>
              <w:rPr>
                <w:sz w:val="18"/>
                <w:szCs w:val="18"/>
              </w:rPr>
              <w:t xml:space="preserve"> copy</w:t>
            </w:r>
          </w:p>
        </w:tc>
        <w:tc>
          <w:tcPr>
            <w:tcW w:type="dxa" w:w="13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labels</w:t>
            </w:r>
          </w:p>
        </w:tc>
        <w:tc>
          <w:tcPr>
            <w:tcW w:type="dxa" w:w="27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day(label_ts)</w:t>
            </w:r>
          </w:p>
        </w:tc>
        <w:tc>
          <w:tcPr>
            <w:tcW w:type="dxa" w:w="34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  <w:r>
              <w:rPr>
                <w:sz w:val="18"/>
                <w:szCs w:val="18"/>
              </w:rPr>
              <w:t xml:space="preserve"> resolved to (entity_id, time range, label)</w:t>
            </w:r>
          </w:p>
        </w:tc>
        <w:tc>
          <w:tcPr>
            <w:tcW w:type="dxa" w:w="13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months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Training sets are built with a point-in-time join: a label applies to vectors for its entity whose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window_end</w:t>
      </w:r>
      <w:r>
        <w:t xml:space="preserve"> lies inside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[anomaly_start − 30 min, anomaly_end]</w:t>
      </w:r>
      <w:r>
        <w:t xml:space="preserve">; vectors outside any label are treated as unlabelled (not negative) except where an analyst false-positive label exists. Every training set is identified by an Iceberg snapshot id recorded in the Model Registry (TS-06).</w:t>
      </w:r>
    </w:p>
    <w:p>
      <w:pPr>
        <w:pStyle w:val="Heading1"/>
      </w:pPr>
      <w:r>
        <w:t xml:space="preserve">12.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7"/>
        <w:gridCol w:w="5691"/>
      </w:tblGrid>
      <w:tr>
        <w:trPr>
          <w:cantSplit/>
          <w:tblHeader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primary loss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Replica promoted (&lt; 15 s); inference uses last vector from Kafka-backed local cache (60 s)</w:t>
            </w:r>
          </w:p>
        </w:tc>
      </w:tr>
      <w:tr>
        <w:trPr>
          <w:cantSplit/>
          <w:tblHeader w:val="false"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memory &gt; 75%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HPA scale-out and slot migration (TS-12); TTL eviction protects against OOM</w:t>
            </w:r>
          </w:p>
        </w:tc>
      </w:tr>
      <w:tr>
        <w:trPr>
          <w:cantSplit/>
          <w:tblHeader w:val="false"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Registry version mismatch between job and inference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Inference rejects vector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FAILED_PRECONDITION</w:t>
            </w:r>
            <w:r>
              <w:rPr>
                <w:sz w:val="18"/>
                <w:szCs w:val="18"/>
              </w:rPr>
              <w:t xml:space="preserve">); deployment pipeline blocks mixed versions beyond 10 min</w:t>
            </w:r>
          </w:p>
        </w:tc>
      </w:tr>
      <w:tr>
        <w:trPr>
          <w:cantSplit/>
          <w:tblHeader w:val="false"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Baseline broadcast stale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Deltas computed on last baseline; flag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baseline_stale</w:t>
            </w:r>
            <w:r>
              <w:rPr>
                <w:sz w:val="18"/>
                <w:szCs w:val="18"/>
              </w:rPr>
              <w:t xml:space="preserve">; TS-06 alert</w:t>
            </w:r>
          </w:p>
        </w:tc>
      </w:tr>
      <w:tr>
        <w:trPr>
          <w:cantSplit/>
          <w:tblHeader w:val="false"/>
        </w:trPr>
        <w:tc>
          <w:tcPr>
            <w:tcW w:type="dxa" w:w="3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write failure</w:t>
            </w:r>
          </w:p>
        </w:tc>
        <w:tc>
          <w:tcPr>
            <w:tcW w:type="dxa" w:w="5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Retry via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cg-offline-sink</w:t>
            </w:r>
            <w:r>
              <w:rPr>
                <w:sz w:val="18"/>
                <w:szCs w:val="18"/>
              </w:rPr>
              <w:t xml:space="preserve">; backfill from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</w:t>
            </w:r>
            <w:r>
              <w:rPr>
                <w:sz w:val="18"/>
                <w:szCs w:val="18"/>
              </w:rPr>
              <w:t xml:space="preserve"> (24 h retention) or replay of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 (72 h)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7"/>
        <w:gridCol w:w="4261"/>
      </w:tblGrid>
      <w:tr>
        <w:trPr>
          <w:cantSplit/>
          <w:tblHeader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feature_freshness_seconds_p99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5 s</w:t>
            </w:r>
          </w:p>
        </w:tc>
      </w:tr>
      <w:tr>
        <w:trPr>
          <w:cantSplit/>
          <w:tblHeader w:val="false"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featurestore_read_latency_p99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10 ms (KRI)</w:t>
            </w:r>
          </w:p>
        </w:tc>
      </w:tr>
      <w:tr>
        <w:trPr>
          <w:cantSplit/>
          <w:tblHeader w:val="false"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featurestore_availability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&lt; 99.9% (KRI)</w:t>
            </w:r>
          </w:p>
        </w:tc>
      </w:tr>
      <w:tr>
        <w:trPr>
          <w:cantSplit/>
          <w:tblHeader w:val="false"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feature_null_ratio{feature}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20% for a curated feature</w:t>
            </w:r>
          </w:p>
        </w:tc>
      </w:tr>
      <w:tr>
        <w:trPr>
          <w:cantSplit/>
          <w:tblHeader w:val="false"/>
        </w:trPr>
        <w:tc>
          <w:tcPr>
            <w:tcW w:type="dxa" w:w="53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train_serve_parity_mismatch_ratio</w:t>
            </w:r>
            <w:r>
              <w:rPr>
                <w:sz w:val="18"/>
                <w:szCs w:val="18"/>
              </w:rPr>
              <w:t xml:space="preserve"> (daily)</w:t>
            </w:r>
          </w:p>
        </w:tc>
        <w:tc>
          <w:tcPr>
            <w:tcW w:type="dxa" w:w="42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0.1%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3"/>
        <w:gridCol w:w="7245"/>
      </w:tblGrid>
      <w:tr>
        <w:trPr>
          <w:cantSplit/>
          <w:tblHeader/>
        </w:trPr>
        <w:tc>
          <w:tcPr>
            <w:tcW w:type="dxa" w:w="23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3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TS04-SEC-001</w:t>
            </w:r>
          </w:p>
        </w:tc>
        <w:tc>
          <w:tcPr>
            <w:tcW w:type="dxa" w:w="7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ACL users per caller; TLS in transit; no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KEYS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FLUSHALL</w:t>
            </w:r>
            <w:r>
              <w:rPr>
                <w:sz w:val="18"/>
                <w:szCs w:val="18"/>
              </w:rPr>
              <w:t xml:space="preserve"> for application users</w:t>
            </w:r>
          </w:p>
        </w:tc>
      </w:tr>
      <w:tr>
        <w:trPr>
          <w:cantSplit/>
          <w:tblHeader w:val="false"/>
        </w:trPr>
        <w:tc>
          <w:tcPr>
            <w:tcW w:type="dxa" w:w="23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TS04-SEC-002</w:t>
            </w:r>
          </w:p>
        </w:tc>
        <w:tc>
          <w:tcPr>
            <w:tcW w:type="dxa" w:w="7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Offline store encrypted with KMS; access via training service account only; analyst access to aggregated views</w:t>
            </w:r>
          </w:p>
        </w:tc>
      </w:tr>
      <w:tr>
        <w:trPr>
          <w:cantSplit/>
          <w:tblHeader w:val="false"/>
        </w:trPr>
        <w:tc>
          <w:tcPr>
            <w:tcW w:type="dxa" w:w="23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TS04-SEC-003</w:t>
            </w:r>
          </w:p>
        </w:tc>
        <w:tc>
          <w:tcPr>
            <w:tcW w:type="dxa" w:w="72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Features never contain raw PII; registry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pii: true</w:t>
            </w:r>
            <w:r>
              <w:rPr>
                <w:sz w:val="18"/>
                <w:szCs w:val="18"/>
              </w:rPr>
              <w:t xml:space="preserve"> features are rejected by CI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15.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1"/>
        <w:gridCol w:w="7077"/>
      </w:tblGrid>
      <w:tr>
        <w:trPr>
          <w:cantSplit/>
          <w:tblHeader/>
        </w:trPr>
        <w:tc>
          <w:tcPr>
            <w:tcW w:type="dxa" w:w="25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5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TS04-AC-001</w:t>
            </w:r>
          </w:p>
        </w:tc>
        <w:tc>
          <w:tcPr>
            <w:tcW w:type="dxa" w:w="70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Reconciliation of 24 h of stream vs. batch recomputation: parity within NFR-005</w:t>
            </w:r>
          </w:p>
        </w:tc>
      </w:tr>
      <w:tr>
        <w:trPr>
          <w:cantSplit/>
          <w:tblHeader w:val="false"/>
        </w:trPr>
        <w:tc>
          <w:tcPr>
            <w:tcW w:type="dxa" w:w="25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TS04-AC-002</w:t>
            </w:r>
          </w:p>
        </w:tc>
        <w:tc>
          <w:tcPr>
            <w:tcW w:type="dxa" w:w="70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Load test at 200k entities: read P99 ≤ 5 ms single, ≤ 10 ms batch of 100</w:t>
            </w:r>
          </w:p>
        </w:tc>
      </w:tr>
      <w:tr>
        <w:trPr>
          <w:cantSplit/>
          <w:tblHeader w:val="false"/>
        </w:trPr>
        <w:tc>
          <w:tcPr>
            <w:tcW w:type="dxa" w:w="25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TS04-AC-003</w:t>
            </w:r>
          </w:p>
        </w:tc>
        <w:tc>
          <w:tcPr>
            <w:tcW w:type="dxa" w:w="70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Point-in-time join reproduces identical training set from the same snapshot id twice</w:t>
            </w:r>
          </w:p>
        </w:tc>
      </w:tr>
      <w:tr>
        <w:trPr>
          <w:cantSplit/>
          <w:tblHeader w:val="false"/>
        </w:trPr>
        <w:tc>
          <w:tcPr>
            <w:tcW w:type="dxa" w:w="25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TS04-AC-004</w:t>
            </w:r>
          </w:p>
        </w:tc>
        <w:tc>
          <w:tcPr>
            <w:tcW w:type="dxa" w:w="70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Primary node kill causes no inference errors beyond 60 s cache window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5"/>
        <w:gridCol w:w="7993"/>
      </w:tblGrid>
      <w:tr>
        <w:trPr>
          <w:cantSplit/>
          <w:tblHeader/>
        </w:trPr>
        <w:tc>
          <w:tcPr>
            <w:tcW w:type="dxa" w:w="1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79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 count ≤ 200k at Month 12; above this, the sequence history moves to a dedicated cluster</w:t>
            </w:r>
          </w:p>
        </w:tc>
      </w:tr>
      <w:tr>
        <w:trPr>
          <w:cantSplit/>
          <w:tblHeader w:val="false"/>
        </w:trPr>
        <w:tc>
          <w:tcPr>
            <w:tcW w:type="dxa" w:w="16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9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Choice of feature platform (custom vs. Feast-compatible) — current spec is Feast-compatible in key and registry design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TS-04 · Feature Engineering and Feature Store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TS-04 Feature Engineering and Feature Store</dc:title>
  <dc:creator>Sakul Gupta</dc:creator>
  <cp:lastModifiedBy>Un-named</cp:lastModifiedBy>
  <cp:revision>1</cp:revision>
  <dcterms:created xsi:type="dcterms:W3CDTF">2026-10-14T09:35:30.679Z</dcterms:created>
  <dcterms:modified xsi:type="dcterms:W3CDTF">2026-10-14T09:35:30.679Z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