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b/>
          <w:bCs/>
          <w:color w:val="2E75B6"/>
          <w:spacing w:val="40"/>
          <w:sz w:val="22"/>
          <w:szCs w:val="22"/>
        </w:rPr>
        <w:t xml:space="preserve">TECHNICAL SPECIFICATION</w:t>
      </w:r>
    </w:p>
    <w:p>
      <w:pPr>
        <w:spacing w:after="80"/>
      </w:pPr>
      <w:r>
        <w:rPr>
          <w:b/>
          <w:bCs/>
          <w:color w:val="595959"/>
          <w:sz w:val="32"/>
          <w:szCs w:val="32"/>
        </w:rPr>
        <w:t xml:space="preserve">TS-06</w:t>
      </w:r>
    </w:p>
    <w:p>
      <w:pPr>
        <w:spacing w:after="240"/>
      </w:pPr>
      <w:r>
        <w:rPr>
          <w:b/>
          <w:bCs/>
          <w:color w:val="1F3A5F"/>
          <w:sz w:val="48"/>
          <w:szCs w:val="48"/>
        </w:rPr>
        <w:t xml:space="preserve">Behavioural Baselining and Model Lifecycle (MLOps)</w:t>
      </w:r>
    </w:p>
    <w:p>
      <w:pPr>
        <w:pBdr>
          <w:bottom w:val="single" w:color="2E75B6" w:sz="12" w:space="4"/>
        </w:pBdr>
        <w:spacing w:after="240"/>
      </w:pPr>
    </w:p>
    <w:p>
      <w:pPr>
        <w:spacing w:after="360"/>
      </w:pPr>
      <w:r>
        <w:rPr>
          <w:i/>
          <w:iCs/>
          <w:color w:val="595959"/>
          <w:sz w:val="22"/>
          <w:szCs w:val="22"/>
        </w:rPr>
        <w:t xml:space="preserve">Computation and storage of the four baseline layers, the bootstrap state machine for new entities, and the training, validation, shadow, promotion, drift-detection and rollback pipeline for all models.</w:t>
      </w:r>
    </w:p>
    <w:p>
      <w:pPr>
        <w:spacing w:after="120"/>
      </w:pPr>
      <w:r>
        <w:rPr>
          <w:b/>
          <w:bCs/>
          <w:color w:val="1F3A5F"/>
          <w:sz w:val="20"/>
          <w:szCs w:val="20"/>
        </w:rPr>
        <w:t xml:space="preserve">Proactive Infrastructure Disruption Detection &amp; Automated Incident Response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5"/>
        <w:gridCol w:w="6483"/>
      </w:tblGrid>
      <w:tr>
        <w:trPr>
          <w:cantSplit/>
          <w:tblHeader/>
        </w:trPr>
        <w:tc>
          <w:tcPr>
            <w:tcW w:type="dxa" w:w="315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48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rPr>
          <w:cantSplit/>
          <w:tblHeader w:val="false"/>
        </w:trPr>
        <w:tc>
          <w:tcPr>
            <w:tcW w:type="dxa" w:w="315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Specification ID</w:t>
            </w:r>
          </w:p>
        </w:tc>
        <w:tc>
          <w:tcPr>
            <w:tcW w:type="dxa" w:w="648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TS-06</w:t>
            </w:r>
          </w:p>
        </w:tc>
      </w:tr>
      <w:tr>
        <w:trPr>
          <w:cantSplit/>
          <w:tblHeader w:val="false"/>
        </w:trPr>
        <w:tc>
          <w:tcPr>
            <w:tcW w:type="dxa" w:w="315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Version / Status</w:t>
            </w:r>
          </w:p>
        </w:tc>
        <w:tc>
          <w:tcPr>
            <w:tcW w:type="dxa" w:w="648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1.0 / Draft for architecture review</w:t>
            </w:r>
          </w:p>
        </w:tc>
      </w:tr>
      <w:tr>
        <w:trPr>
          <w:cantSplit/>
          <w:tblHeader w:val="false"/>
        </w:trPr>
        <w:tc>
          <w:tcPr>
            <w:tcW w:type="dxa" w:w="315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648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14 October 2026</w:t>
            </w:r>
          </w:p>
        </w:tc>
      </w:tr>
      <w:tr>
        <w:trPr>
          <w:cantSplit/>
          <w:tblHeader w:val="false"/>
        </w:trPr>
        <w:tc>
          <w:tcPr>
            <w:tcW w:type="dxa" w:w="315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Author</w:t>
            </w:r>
          </w:p>
        </w:tc>
        <w:tc>
          <w:tcPr>
            <w:tcW w:type="dxa" w:w="648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Sakul Gupta</w:t>
            </w:r>
          </w:p>
        </w:tc>
      </w:tr>
      <w:tr>
        <w:trPr>
          <w:cantSplit/>
          <w:tblHeader w:val="false"/>
        </w:trPr>
        <w:tc>
          <w:tcPr>
            <w:tcW w:type="dxa" w:w="315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Source white paper sections</w:t>
            </w:r>
          </w:p>
        </w:tc>
        <w:tc>
          <w:tcPr>
            <w:tcW w:type="dxa" w:w="648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05 (Baselining Strategy, Model Governance) · TD-05 Baseline Strategy · 13A (Autonomous Model Lifecycle Management)</w:t>
            </w:r>
          </w:p>
        </w:tc>
      </w:tr>
      <w:tr>
        <w:trPr>
          <w:cantSplit/>
          <w:tblHeader w:val="false"/>
        </w:trPr>
        <w:tc>
          <w:tcPr>
            <w:tcW w:type="dxa" w:w="315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Depends on</w:t>
            </w:r>
          </w:p>
        </w:tc>
        <w:tc>
          <w:tcPr>
            <w:tcW w:type="dxa" w:w="648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TS-04, TS-05, TS-10</w:t>
            </w:r>
          </w:p>
        </w:tc>
      </w:tr>
      <w:tr>
        <w:trPr>
          <w:cantSplit/>
          <w:tblHeader w:val="false"/>
        </w:trPr>
        <w:tc>
          <w:tcPr>
            <w:tcW w:type="dxa" w:w="315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Deployment context</w:t>
            </w:r>
          </w:p>
        </w:tc>
        <w:tc>
          <w:tcPr>
            <w:tcW w:type="dxa" w:w="648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Industry-neutral; regulated-industry controls exposed as configuration</w:t>
            </w:r>
          </w:p>
        </w:tc>
      </w:tr>
      <w:tr>
        <w:trPr>
          <w:cantSplit/>
          <w:tblHeader w:val="false"/>
        </w:trPr>
        <w:tc>
          <w:tcPr>
            <w:tcW w:type="dxa" w:w="315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Document structure</w:t>
            </w:r>
          </w:p>
        </w:tc>
        <w:tc>
          <w:tcPr>
            <w:tcW w:type="dxa" w:w="648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Part A — Design-level specification · Part B — Low-level (build-ready) specification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Contents</w:t>
      </w:r>
    </w:p>
    <w:p>
      <w:pPr>
        <w:spacing w:after="20" w:before="200"/>
      </w:pPr>
      <w:r>
        <w:rPr>
          <w:b/>
          <w:bCs/>
          <w:color w:val="1F3A5F"/>
          <w:sz w:val="20"/>
          <w:szCs w:val="20"/>
        </w:rPr>
        <w:t xml:space="preserve">PART A — DESIGN-LEVEL SPECIFICATION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1. Purpose and Scope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2. Component Decomposition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3. Key Design Decisions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4. Non-Functional Requirements</w:t>
      </w:r>
    </w:p>
    <w:p>
      <w:pPr>
        <w:spacing w:after="20" w:before="200"/>
      </w:pPr>
      <w:r>
        <w:rPr>
          <w:b/>
          <w:bCs/>
          <w:color w:val="1F3A5F"/>
          <w:sz w:val="20"/>
          <w:szCs w:val="20"/>
        </w:rPr>
        <w:t xml:space="preserve">PART B — LOW-LEVEL SPECIFICATION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5. Baseline Layers</w:t>
      </w:r>
    </w:p>
    <w:p>
      <w:pPr>
        <w:spacing w:after="10"/>
        <w:ind w:left="360"/>
      </w:pPr>
      <w:r>
        <w:rPr>
          <w:color w:val="595959"/>
          <w:sz w:val="17"/>
          <w:szCs w:val="17"/>
        </w:rPr>
        <w:t xml:space="preserve">5.1 Individual baseline weighting</w:t>
      </w:r>
    </w:p>
    <w:p>
      <w:pPr>
        <w:spacing w:after="10"/>
        <w:ind w:left="360"/>
      </w:pPr>
      <w:r>
        <w:rPr>
          <w:color w:val="595959"/>
          <w:sz w:val="17"/>
          <w:szCs w:val="17"/>
        </w:rPr>
        <w:t xml:space="preserve">5.2 Contextual baselines</w:t>
      </w:r>
    </w:p>
    <w:p>
      <w:pPr>
        <w:spacing w:after="10"/>
        <w:ind w:left="360"/>
      </w:pPr>
      <w:r>
        <w:rPr>
          <w:color w:val="595959"/>
          <w:sz w:val="17"/>
          <w:szCs w:val="17"/>
        </w:rPr>
        <w:t xml:space="preserve">5.3 Peer groups</w:t>
      </w:r>
    </w:p>
    <w:p>
      <w:pPr>
        <w:spacing w:after="10"/>
        <w:ind w:left="360"/>
      </w:pPr>
      <w:r>
        <w:rPr>
          <w:color w:val="595959"/>
          <w:sz w:val="17"/>
          <w:szCs w:val="17"/>
        </w:rPr>
        <w:t xml:space="preserve">5.4 Baseline invalidation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6. Bootstrap State Machine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7. Baseline Publication Format (ref.baselines, compacted)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8. Model Lifecycle</w:t>
      </w:r>
    </w:p>
    <w:p>
      <w:pPr>
        <w:spacing w:after="10"/>
        <w:ind w:left="360"/>
      </w:pPr>
      <w:r>
        <w:rPr>
          <w:color w:val="595959"/>
          <w:sz w:val="17"/>
          <w:szCs w:val="17"/>
        </w:rPr>
        <w:t xml:space="preserve">8.1 Stages</w:t>
      </w:r>
    </w:p>
    <w:p>
      <w:pPr>
        <w:spacing w:after="10"/>
        <w:ind w:left="360"/>
      </w:pPr>
      <w:r>
        <w:rPr>
          <w:color w:val="595959"/>
          <w:sz w:val="17"/>
          <w:szCs w:val="17"/>
        </w:rPr>
        <w:t xml:space="preserve">8.2 Training pipeline steps</w:t>
      </w:r>
    </w:p>
    <w:p>
      <w:pPr>
        <w:spacing w:after="10"/>
        <w:ind w:left="360"/>
      </w:pPr>
      <w:r>
        <w:rPr>
          <w:color w:val="595959"/>
          <w:sz w:val="17"/>
          <w:szCs w:val="17"/>
        </w:rPr>
        <w:t xml:space="preserve">8.3 Promotion gate (automatic for minor versions)</w:t>
      </w:r>
    </w:p>
    <w:p>
      <w:pPr>
        <w:spacing w:after="10"/>
        <w:ind w:left="360"/>
      </w:pPr>
      <w:r>
        <w:rPr>
          <w:color w:val="595959"/>
          <w:sz w:val="17"/>
          <w:szCs w:val="17"/>
        </w:rPr>
        <w:t xml:space="preserve">8.4 Post-promotion monitoring and rollback</w:t>
      </w:r>
    </w:p>
    <w:p>
      <w:pPr>
        <w:spacing w:after="10"/>
        <w:ind w:left="360"/>
      </w:pPr>
      <w:r>
        <w:rPr>
          <w:color w:val="595959"/>
          <w:sz w:val="17"/>
          <w:szCs w:val="17"/>
        </w:rPr>
        <w:t xml:space="preserve">8.5 Drift detection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9. Model Registry Schema (minimum fields)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10. Configuration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11. Failure Modes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12. Security Controls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13. Acceptance Criteria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14. Assumptions and Open Issues</w:t>
      </w:r>
    </w:p>
    <w:p>
      <w:r>
        <w:br w:type="page"/>
      </w:r>
    </w:p>
    <w:p>
      <w:pPr>
        <w:pStyle w:val="Heading1"/>
        <w:pBdr>
          <w:left w:val="single" w:color="1F3A5F" w:sz="24" w:space="6"/>
        </w:pBdr>
        <w:shd w:fill="EAF1F8" w:color="auto" w:val="clear"/>
        <w:spacing w:after="200" w:before="480"/>
      </w:pPr>
      <w:r>
        <w:t xml:space="preserve">PART A — DESIGN-LEVEL SPECIFICATION</w:t>
      </w:r>
    </w:p>
    <w:p>
      <w:pPr>
        <w:pStyle w:val="Heading1"/>
      </w:pPr>
      <w:r>
        <w:t xml:space="preserve">1. Purpose and Scope</w:t>
      </w:r>
    </w:p>
    <w:p>
      <w:pPr>
        <w:spacing w:after="120"/>
      </w:pPr>
      <w:r>
        <w:t xml:space="preserve">Defines how "normal" is learned and kept current. Covers population, individual, contextual and peer-group baselines; the bootstrap period for new entities; and the end-to-end model lifecycle: data extraction, training, evaluation, registration, shadow deployment, promotion, monitoring, drift-triggered retraining and rollback. Governance policy (approval authority, documentation, audit) is in TS-10.</w:t>
      </w:r>
    </w:p>
    <w:p>
      <w:pPr>
        <w:pStyle w:val="Heading1"/>
      </w:pPr>
      <w:r>
        <w:t xml:space="preserve">2. Component Decomposition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5"/>
        <w:gridCol w:w="3599"/>
        <w:gridCol w:w="3794"/>
      </w:tblGrid>
      <w:tr>
        <w:trPr>
          <w:cantSplit/>
          <w:tblHeader/>
        </w:trPr>
        <w:tc>
          <w:tcPr>
            <w:tcW w:type="dxa" w:w="224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Sub-component</w:t>
            </w:r>
          </w:p>
        </w:tc>
        <w:tc>
          <w:tcPr>
            <w:tcW w:type="dxa" w:w="359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7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rPr>
          <w:cantSplit/>
          <w:tblHeader w:val="false"/>
        </w:trPr>
        <w:tc>
          <w:tcPr>
            <w:tcW w:type="dxa" w:w="224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Baseline jobs</w:t>
            </w:r>
          </w:p>
        </w:tc>
        <w:tc>
          <w:tcPr>
            <w:tcW w:type="dxa" w:w="359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Spark/Flink batch on Iceberg (TS-04 offline store)</w:t>
            </w:r>
          </w:p>
        </w:tc>
        <w:tc>
          <w:tcPr>
            <w:tcW w:type="dxa" w:w="37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Compute four baseline layers; publish to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ref.baselines</w:t>
            </w:r>
          </w:p>
        </w:tc>
      </w:tr>
      <w:tr>
        <w:trPr>
          <w:cantSplit/>
          <w:tblHeader w:val="false"/>
        </w:trPr>
        <w:tc>
          <w:tcPr>
            <w:tcW w:type="dxa" w:w="224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Peer clustering job</w:t>
            </w:r>
          </w:p>
        </w:tc>
        <w:tc>
          <w:tcPr>
            <w:tcW w:type="dxa" w:w="359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Spark ML (k-means), monthly</w:t>
            </w:r>
          </w:p>
        </w:tc>
        <w:tc>
          <w:tcPr>
            <w:tcW w:type="dxa" w:w="37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Assign peer groups</w:t>
            </w:r>
          </w:p>
        </w:tc>
      </w:tr>
      <w:tr>
        <w:trPr>
          <w:cantSplit/>
          <w:tblHeader w:val="false"/>
        </w:trPr>
        <w:tc>
          <w:tcPr>
            <w:tcW w:type="dxa" w:w="224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Training pipeline</w:t>
            </w:r>
          </w:p>
        </w:tc>
        <w:tc>
          <w:tcPr>
            <w:tcW w:type="dxa" w:w="359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Kubeflow Pipelines / Argo Workflows as Kubernetes Jobs</w:t>
            </w:r>
          </w:p>
        </w:tc>
        <w:tc>
          <w:tcPr>
            <w:tcW w:type="dxa" w:w="37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Extract, train, tune, evaluate, register</w:t>
            </w:r>
          </w:p>
        </w:tc>
      </w:tr>
      <w:tr>
        <w:trPr>
          <w:cantSplit/>
          <w:tblHeader w:val="false"/>
        </w:trPr>
        <w:tc>
          <w:tcPr>
            <w:tcW w:type="dxa" w:w="224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Hyperparameter search</w:t>
            </w:r>
          </w:p>
        </w:tc>
        <w:tc>
          <w:tcPr>
            <w:tcW w:type="dxa" w:w="359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Optuna (TPE), bounded trials</w:t>
            </w:r>
          </w:p>
        </w:tc>
        <w:tc>
          <w:tcPr>
            <w:tcW w:type="dxa" w:w="37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Tuning on retrain or F1 shortfall</w:t>
            </w:r>
          </w:p>
        </w:tc>
      </w:tr>
      <w:tr>
        <w:trPr>
          <w:cantSplit/>
          <w:tblHeader w:val="false"/>
        </w:trPr>
        <w:tc>
          <w:tcPr>
            <w:tcW w:type="dxa" w:w="224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Model Registry</w:t>
            </w:r>
          </w:p>
        </w:tc>
        <w:tc>
          <w:tcPr>
            <w:tcW w:type="dxa" w:w="359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MLflow Model Registry (or equivalent)</w:t>
            </w:r>
          </w:p>
        </w:tc>
        <w:tc>
          <w:tcPr>
            <w:tcW w:type="dxa" w:w="37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Versions, lineage, metrics, stage, approvals</w:t>
            </w:r>
          </w:p>
        </w:tc>
      </w:tr>
      <w:tr>
        <w:trPr>
          <w:cantSplit/>
          <w:tblHeader w:val="false"/>
        </w:trPr>
        <w:tc>
          <w:tcPr>
            <w:tcW w:type="dxa" w:w="224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Evaluation service</w:t>
            </w:r>
          </w:p>
        </w:tc>
        <w:tc>
          <w:tcPr>
            <w:tcW w:type="dxa" w:w="359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Batch job + shadow comparator</w:t>
            </w:r>
          </w:p>
        </w:tc>
        <w:tc>
          <w:tcPr>
            <w:tcW w:type="dxa" w:w="37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Offline metrics, shadow precision/recall, promotion decision</w:t>
            </w:r>
          </w:p>
        </w:tc>
      </w:tr>
      <w:tr>
        <w:trPr>
          <w:cantSplit/>
          <w:tblHeader w:val="false"/>
        </w:trPr>
        <w:tc>
          <w:tcPr>
            <w:tcW w:type="dxa" w:w="224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Drift monitor</w:t>
            </w:r>
          </w:p>
        </w:tc>
        <w:tc>
          <w:tcPr>
            <w:tcW w:type="dxa" w:w="359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Daily job + streaming PSI estimator</w:t>
            </w:r>
          </w:p>
        </w:tc>
        <w:tc>
          <w:tcPr>
            <w:tcW w:type="dxa" w:w="37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KS and PSI on features and scores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3. Key Design Decisions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14"/>
        <w:gridCol w:w="4624"/>
      </w:tblGrid>
      <w:tr>
        <w:trPr>
          <w:cantSplit/>
          <w:tblHeader/>
        </w:trPr>
        <w:tc>
          <w:tcPr>
            <w:tcW w:type="dxa" w:w="50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462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rPr>
          <w:cantSplit/>
          <w:tblHeader w:val="false"/>
        </w:trPr>
        <w:tc>
          <w:tcPr>
            <w:tcW w:type="dxa" w:w="50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Baselines computed offline and broadcast, not learned inside streaming jobs</w:t>
            </w:r>
          </w:p>
        </w:tc>
        <w:tc>
          <w:tcPr>
            <w:tcW w:type="dxa" w:w="462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Reproducible, auditable, cheap to recompute after CMDB-driven invalidation</w:t>
            </w:r>
          </w:p>
        </w:tc>
      </w:tr>
      <w:tr>
        <w:trPr>
          <w:cantSplit/>
          <w:tblHeader w:val="false"/>
        </w:trPr>
        <w:tc>
          <w:tcPr>
            <w:tcW w:type="dxa" w:w="50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Exponential decay with 4× recency weight for last 7 days</w:t>
            </w:r>
          </w:p>
        </w:tc>
        <w:tc>
          <w:tcPr>
            <w:tcW w:type="dxa" w:w="462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Tracks legitimate evolution without forgetting weekly seasonality</w:t>
            </w:r>
          </w:p>
        </w:tc>
      </w:tr>
      <w:tr>
        <w:trPr>
          <w:cantSplit/>
          <w:tblHeader w:val="false"/>
        </w:trPr>
        <w:tc>
          <w:tcPr>
            <w:tcW w:type="dxa" w:w="50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Contextual baselines by hour-of-day and day-of-week rather than a single seasonal model</w:t>
            </w:r>
          </w:p>
        </w:tc>
        <w:tc>
          <w:tcPr>
            <w:tcW w:type="dxa" w:w="462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Interpretable for analysts, robust with 28 days of data</w:t>
            </w:r>
          </w:p>
        </w:tc>
      </w:tr>
      <w:tr>
        <w:trPr>
          <w:cantSplit/>
          <w:tblHeader w:val="false"/>
        </w:trPr>
        <w:tc>
          <w:tcPr>
            <w:tcW w:type="dxa" w:w="50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Daily retraining with automatic promotion only via shadow comparison</w:t>
            </w:r>
          </w:p>
        </w:tc>
        <w:tc>
          <w:tcPr>
            <w:tcW w:type="dxa" w:w="462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Freshness without unreviewed regressions</w:t>
            </w:r>
          </w:p>
        </w:tc>
      </w:tr>
      <w:tr>
        <w:trPr>
          <w:cantSplit/>
          <w:tblHeader w:val="false"/>
        </w:trPr>
        <w:tc>
          <w:tcPr>
            <w:tcW w:type="dxa" w:w="50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Auto-rollback on FP surge</w:t>
            </w:r>
          </w:p>
        </w:tc>
        <w:tc>
          <w:tcPr>
            <w:tcW w:type="dxa" w:w="462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Bounded blast radius of a bad promotion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4. Non-Functional Requirements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80"/>
        <w:gridCol w:w="7158"/>
      </w:tblGrid>
      <w:tr>
        <w:trPr>
          <w:cantSplit/>
          <w:tblHeader/>
        </w:trPr>
        <w:tc>
          <w:tcPr>
            <w:tcW w:type="dxa" w:w="248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1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rPr>
          <w:cantSplit/>
          <w:tblHeader w:val="false"/>
        </w:trPr>
        <w:tc>
          <w:tcPr>
            <w:tcW w:type="dxa" w:w="248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TS06-NFR-001</w:t>
            </w:r>
          </w:p>
        </w:tc>
        <w:tc>
          <w:tcPr>
            <w:tcW w:type="dxa" w:w="71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Daily baseline refresh complete by 03:00 UTC for all entities</w:t>
            </w:r>
          </w:p>
        </w:tc>
      </w:tr>
      <w:tr>
        <w:trPr>
          <w:cantSplit/>
          <w:tblHeader w:val="false"/>
        </w:trPr>
        <w:tc>
          <w:tcPr>
            <w:tcW w:type="dxa" w:w="248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TS06-NFR-002</w:t>
            </w:r>
          </w:p>
        </w:tc>
        <w:tc>
          <w:tcPr>
            <w:tcW w:type="dxa" w:w="71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Daily retraining pipeline completes within 4 h wall-clock</w:t>
            </w:r>
          </w:p>
        </w:tc>
      </w:tr>
      <w:tr>
        <w:trPr>
          <w:cantSplit/>
          <w:tblHeader w:val="false"/>
        </w:trPr>
        <w:tc>
          <w:tcPr>
            <w:tcW w:type="dxa" w:w="248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TS06-NFR-003</w:t>
            </w:r>
          </w:p>
        </w:tc>
        <w:tc>
          <w:tcPr>
            <w:tcW w:type="dxa" w:w="71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Every production model reproducible from registry lineage (code commit, data snapshot, config, seed)</w:t>
            </w:r>
          </w:p>
        </w:tc>
      </w:tr>
      <w:tr>
        <w:trPr>
          <w:cantSplit/>
          <w:tblHeader w:val="false"/>
        </w:trPr>
        <w:tc>
          <w:tcPr>
            <w:tcW w:type="dxa" w:w="248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TS06-NFR-004</w:t>
            </w:r>
          </w:p>
        </w:tc>
        <w:tc>
          <w:tcPr>
            <w:tcW w:type="dxa" w:w="71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Rollback to previous model version effective within 5 min of trigger</w:t>
            </w:r>
          </w:p>
        </w:tc>
      </w:tr>
    </w:tbl>
    <w:p>
      <w:pPr>
        <w:spacing w:after="80"/>
      </w:pPr>
    </w:p>
    <w:p>
      <w:pPr>
        <w:pStyle w:val="Heading1"/>
        <w:pBdr>
          <w:left w:val="single" w:color="1F3A5F" w:sz="24" w:space="6"/>
        </w:pBdr>
        <w:shd w:fill="EAF1F8" w:color="auto" w:val="clear"/>
        <w:spacing w:after="200" w:before="480"/>
      </w:pPr>
      <w:r>
        <w:t xml:space="preserve">PART B — LOW-LEVEL SPECIFICATION</w:t>
      </w:r>
    </w:p>
    <w:p>
      <w:pPr>
        <w:pStyle w:val="Heading1"/>
      </w:pPr>
      <w:r>
        <w:t xml:space="preserve">5. Baseline Layers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2539"/>
        <w:gridCol w:w="1589"/>
        <w:gridCol w:w="1630"/>
        <w:gridCol w:w="1435"/>
        <w:gridCol w:w="1481"/>
      </w:tblGrid>
      <w:tr>
        <w:trPr>
          <w:cantSplit/>
          <w:tblHeader/>
        </w:trPr>
        <w:tc>
          <w:tcPr>
            <w:tcW w:type="dxa" w:w="96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53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158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Window</w:t>
            </w:r>
          </w:p>
        </w:tc>
        <w:tc>
          <w:tcPr>
            <w:tcW w:type="dxa" w:w="163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Statistics stored</w:t>
            </w:r>
          </w:p>
        </w:tc>
        <w:tc>
          <w:tcPr>
            <w:tcW w:type="dxa" w:w="143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Refresh</w:t>
            </w:r>
          </w:p>
        </w:tc>
        <w:tc>
          <w:tcPr>
            <w:tcW w:type="dxa" w:w="148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Use</w:t>
            </w:r>
          </w:p>
        </w:tc>
      </w:tr>
      <w:tr>
        <w:trPr>
          <w:cantSplit/>
          <w:tblHeader w:val="false"/>
        </w:trPr>
        <w:tc>
          <w:tcPr>
            <w:tcW w:type="dxa" w:w="96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L1 Population</w:t>
            </w:r>
          </w:p>
        </w:tc>
        <w:tc>
          <w:tcPr>
            <w:tcW w:type="dxa" w:w="253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(entity_class, feature, window)</w:t>
            </w:r>
          </w:p>
        </w:tc>
        <w:tc>
          <w:tcPr>
            <w:tcW w:type="dxa" w:w="158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28 d</w:t>
            </w:r>
          </w:p>
        </w:tc>
        <w:tc>
          <w:tcPr>
            <w:tcW w:type="dxa" w:w="163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mean, std, p01/p05/p50/p95/p99, t-digest</w:t>
            </w:r>
          </w:p>
        </w:tc>
        <w:tc>
          <w:tcPr>
            <w:tcW w:type="dxa" w:w="143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Daily</w:t>
            </w:r>
          </w:p>
        </w:tc>
        <w:tc>
          <w:tcPr>
            <w:tcW w:type="dxa" w:w="148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New entities; normalisation in M1</w:t>
            </w:r>
          </w:p>
        </w:tc>
      </w:tr>
      <w:tr>
        <w:trPr>
          <w:cantSplit/>
          <w:tblHeader w:val="false"/>
        </w:trPr>
        <w:tc>
          <w:tcPr>
            <w:tcW w:type="dxa" w:w="96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L2 Individual</w:t>
            </w:r>
          </w:p>
        </w:tc>
        <w:tc>
          <w:tcPr>
            <w:tcW w:type="dxa" w:w="253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(entity_id, feature, window)</w:t>
            </w:r>
          </w:p>
        </w:tc>
        <w:tc>
          <w:tcPr>
            <w:tcW w:type="dxa" w:w="158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28 d, exp. decay, last 7 d weighted 4×</w:t>
            </w:r>
          </w:p>
        </w:tc>
        <w:tc>
          <w:tcPr>
            <w:tcW w:type="dxa" w:w="163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weighted mean, weighted std, p95, n_eff</w:t>
            </w:r>
          </w:p>
        </w:tc>
        <w:tc>
          <w:tcPr>
            <w:tcW w:type="dxa" w:w="143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Daily + on invalidation</w:t>
            </w:r>
          </w:p>
        </w:tc>
        <w:tc>
          <w:tcPr>
            <w:tcW w:type="dxa" w:w="148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beh.z_individual</w:t>
            </w:r>
          </w:p>
        </w:tc>
      </w:tr>
      <w:tr>
        <w:trPr>
          <w:cantSplit/>
          <w:tblHeader w:val="false"/>
        </w:trPr>
        <w:tc>
          <w:tcPr>
            <w:tcW w:type="dxa" w:w="96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L3 Contextual</w:t>
            </w:r>
          </w:p>
        </w:tc>
        <w:tc>
          <w:tcPr>
            <w:tcW w:type="dxa" w:w="253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(entity_id, feature, context) where context ∈ {hour 0–23} × {weekday/weekend} and day-of-week 0–6</w:t>
            </w:r>
          </w:p>
        </w:tc>
        <w:tc>
          <w:tcPr>
            <w:tcW w:type="dxa" w:w="158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28 d</w:t>
            </w:r>
          </w:p>
        </w:tc>
        <w:tc>
          <w:tcPr>
            <w:tcW w:type="dxa" w:w="163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mean, std</w:t>
            </w:r>
          </w:p>
        </w:tc>
        <w:tc>
          <w:tcPr>
            <w:tcW w:type="dxa" w:w="143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Daily</w:t>
            </w:r>
          </w:p>
        </w:tc>
        <w:tc>
          <w:tcPr>
            <w:tcW w:type="dxa" w:w="148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SPC limits, contextual z</w:t>
            </w:r>
          </w:p>
        </w:tc>
      </w:tr>
      <w:tr>
        <w:trPr>
          <w:cantSplit/>
          <w:tblHeader w:val="false"/>
        </w:trPr>
        <w:tc>
          <w:tcPr>
            <w:tcW w:type="dxa" w:w="96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L3 Post-deploy</w:t>
            </w:r>
          </w:p>
        </w:tc>
        <w:tc>
          <w:tcPr>
            <w:tcW w:type="dxa" w:w="253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(entity_id, feature)</w:t>
            </w:r>
          </w:p>
        </w:tc>
        <w:tc>
          <w:tcPr>
            <w:tcW w:type="dxa" w:w="158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Derived</w:t>
            </w:r>
          </w:p>
        </w:tc>
        <w:tc>
          <w:tcPr>
            <w:tcW w:type="dxa" w:w="163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widened limits (×1.33 σ) for 30 min</w:t>
            </w:r>
          </w:p>
        </w:tc>
        <w:tc>
          <w:tcPr>
            <w:tcW w:type="dxa" w:w="143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Event-driven</w:t>
            </w:r>
          </w:p>
        </w:tc>
        <w:tc>
          <w:tcPr>
            <w:tcW w:type="dxa" w:w="148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Deployment guard</w:t>
            </w:r>
          </w:p>
        </w:tc>
      </w:tr>
      <w:tr>
        <w:trPr>
          <w:cantSplit/>
          <w:tblHeader w:val="false"/>
        </w:trPr>
        <w:tc>
          <w:tcPr>
            <w:tcW w:type="dxa" w:w="96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L3 Maintenance</w:t>
            </w:r>
          </w:p>
        </w:tc>
        <w:tc>
          <w:tcPr>
            <w:tcW w:type="dxa" w:w="253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(entity_id)</w:t>
            </w:r>
          </w:p>
        </w:tc>
        <w:tc>
          <w:tcPr>
            <w:tcW w:type="dxa" w:w="158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Event-driven</w:t>
            </w:r>
          </w:p>
        </w:tc>
        <w:tc>
          <w:tcPr>
            <w:tcW w:type="dxa" w:w="163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suppressed</w:t>
            </w:r>
          </w:p>
        </w:tc>
        <w:tc>
          <w:tcPr>
            <w:tcW w:type="dxa" w:w="143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Event-driven</w:t>
            </w:r>
          </w:p>
        </w:tc>
        <w:tc>
          <w:tcPr>
            <w:tcW w:type="dxa" w:w="148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No scoring for in-scope entities</w:t>
            </w:r>
          </w:p>
        </w:tc>
      </w:tr>
      <w:tr>
        <w:trPr>
          <w:cantSplit/>
          <w:tblHeader w:val="false"/>
        </w:trPr>
        <w:tc>
          <w:tcPr>
            <w:tcW w:type="dxa" w:w="96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L4 Peer group</w:t>
            </w:r>
          </w:p>
        </w:tc>
        <w:tc>
          <w:tcPr>
            <w:tcW w:type="dxa" w:w="253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(peer_group_id, feature, window)</w:t>
            </w:r>
          </w:p>
        </w:tc>
        <w:tc>
          <w:tcPr>
            <w:tcW w:type="dxa" w:w="158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30 d</w:t>
            </w:r>
          </w:p>
        </w:tc>
        <w:tc>
          <w:tcPr>
            <w:tcW w:type="dxa" w:w="163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mean, std, p95</w:t>
            </w:r>
          </w:p>
        </w:tc>
        <w:tc>
          <w:tcPr>
            <w:tcW w:type="dxa" w:w="143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Monthly clustering; daily stats</w:t>
            </w:r>
          </w:p>
        </w:tc>
        <w:tc>
          <w:tcPr>
            <w:tcW w:type="dxa" w:w="148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beh.z_peer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5.1 Individual baseline weighting</w:t>
      </w:r>
    </w:p>
    <w:p>
      <w:pPr>
        <w:pBdr>
          <w:top w:val="single" w:color="F3F4F6" w:sz="2" w:space="2"/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for observation at age a days (0 ≤ a &lt; 28):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w(a) = exp(-λ a) * (4 if a &lt; 7 else 1)  # λ = ln(2)/14 (14-day half-life)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μ = Σ w x / Σ w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σ² = Σ w (x − μ)² / (Σ w − Σ w² / Σ w)  # reliability-weighted unbiased variance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n_eff = (Σ w)² / Σ w²</w:t>
      </w:r>
    </w:p>
    <w:p>
      <w:pPr>
        <w:pBdr>
          <w:left w:val="single" w:color="2E75B6" w:sz="12" w:space="6"/>
        </w:pBdr>
        <w:shd w:fill="F3F4F6" w:color="auto" w:val="clear"/>
        <w:spacing w:after="16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publish only if n_eff ≥ n_min (default 288 five-minute points ≈ 1 day)</w:t>
      </w:r>
    </w:p>
    <w:p>
      <w:pPr>
        <w:pStyle w:val="Heading2"/>
      </w:pPr>
      <w:r>
        <w:t xml:space="preserve">5.2 Contextual baselines</w:t>
      </w:r>
    </w:p>
    <w:p>
      <w:pPr>
        <w:spacing w:after="120"/>
      </w:pPr>
      <w:r>
        <w:t xml:space="preserve">Hour-of-day baselines require ≥ 3 observations per hour bucket; buckets below this borrow from the adjacent ±1 hour buckets (weighted 0.5) and then from L2. Day-of-week baselines require ≥ 2 observations per day.</w:t>
      </w:r>
    </w:p>
    <w:p>
      <w:pPr>
        <w:pStyle w:val="Heading2"/>
      </w:pPr>
      <w:r>
        <w:t xml:space="preserve">5.3 Peer groups</w:t>
      </w:r>
    </w:p>
    <w:p>
      <w:pPr>
        <w:pBdr>
          <w:top w:val="single" w:color="F3F4F6" w:sz="2" w:space="2"/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input: for each entity of class c, 30-day profile vector = [p50, p95, std] of 12 curated features, log-scaled, z-normalised per class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for k in 2..min(20, n_entities/10):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fit KMeans(k, n_init=10, seed fixed)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score silhouette(k)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k* = argmax silhouette; require silhouette ≥ 0.25 else peer layer disabled for class c</w:t>
      </w:r>
    </w:p>
    <w:p>
      <w:pPr>
        <w:pBdr>
          <w:left w:val="single" w:color="2E75B6" w:sz="12" w:space="6"/>
        </w:pBdr>
        <w:shd w:fill="F3F4F6" w:color="auto" w:val="clear"/>
        <w:spacing w:after="16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assign peer_group_id = &lt;class&gt;:&lt;k*&gt;:&lt;cluster&gt;; persist with assignment history</w:t>
      </w:r>
    </w:p>
    <w:p>
      <w:pPr>
        <w:spacing w:after="120"/>
      </w:pPr>
      <w:r>
        <w:t xml:space="preserve">Entities move between groups only at monthly recomputation; moves are logged.</w:t>
      </w:r>
    </w:p>
    <w:p>
      <w:pPr>
        <w:pStyle w:val="Heading2"/>
      </w:pPr>
      <w:r>
        <w:t xml:space="preserve">5.4 Baseline invalidation</w:t>
      </w:r>
    </w:p>
    <w:p>
      <w:pPr>
        <w:spacing w:after="120"/>
      </w:pPr>
      <w:r>
        <w:t xml:space="preserve">A CMDB change of type {hardware replacement, major version upgrade, re-platform, capacity change &gt; 50%} on an entity invalidates its L2 and L3 baselines: the entity drops to Bootstrap-1 state with population and peer baselines, and history after the change date is used to rebuild.</w:t>
      </w:r>
    </w:p>
    <w:p>
      <w:pPr>
        <w:pStyle w:val="Heading1"/>
      </w:pPr>
      <w:r>
        <w:t xml:space="preserve">6. Bootstrap State Machine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43"/>
        <w:gridCol w:w="1462"/>
        <w:gridCol w:w="1757"/>
        <w:gridCol w:w="2964"/>
        <w:gridCol w:w="2312"/>
      </w:tblGrid>
      <w:tr>
        <w:trPr>
          <w:cantSplit/>
          <w:tblHeader/>
        </w:trPr>
        <w:tc>
          <w:tcPr>
            <w:tcW w:type="dxa" w:w="114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146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Entry</w:t>
            </w:r>
          </w:p>
        </w:tc>
        <w:tc>
          <w:tcPr>
            <w:tcW w:type="dxa" w:w="175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Active baselines</w:t>
            </w:r>
          </w:p>
        </w:tc>
        <w:tc>
          <w:tcPr>
            <w:tcW w:type="dxa" w:w="296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Model behaviour</w:t>
            </w:r>
          </w:p>
        </w:tc>
        <w:tc>
          <w:tcPr>
            <w:tcW w:type="dxa" w:w="231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Exit</w:t>
            </w:r>
          </w:p>
        </w:tc>
      </w:tr>
      <w:tr>
        <w:trPr>
          <w:cantSplit/>
          <w:tblHeader w:val="false"/>
        </w:trPr>
        <w:tc>
          <w:tcPr>
            <w:tcW w:type="dxa" w:w="114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Bootstrap-0</w:t>
            </w:r>
          </w:p>
        </w:tc>
        <w:tc>
          <w:tcPr>
            <w:tcW w:type="dxa" w:w="146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First seen (day 0)</w:t>
            </w:r>
          </w:p>
        </w:tc>
        <w:tc>
          <w:tcPr>
            <w:tcW w:type="dxa" w:w="175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L1 population</w:t>
            </w:r>
          </w:p>
        </w:tc>
        <w:tc>
          <w:tcPr>
            <w:tcW w:type="dxa" w:w="296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SPC and Isolation Forest on population stats; LSTM inactive</w:t>
            </w:r>
          </w:p>
        </w:tc>
        <w:tc>
          <w:tcPr>
            <w:tcW w:type="dxa" w:w="231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n_eff for 3 days</w:t>
            </w:r>
          </w:p>
        </w:tc>
      </w:tr>
      <w:tr>
        <w:trPr>
          <w:cantSplit/>
          <w:tblHeader w:val="false"/>
        </w:trPr>
        <w:tc>
          <w:tcPr>
            <w:tcW w:type="dxa" w:w="114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Bootstrap-1</w:t>
            </w:r>
          </w:p>
        </w:tc>
        <w:tc>
          <w:tcPr>
            <w:tcW w:type="dxa" w:w="146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Day 3</w:t>
            </w:r>
          </w:p>
        </w:tc>
        <w:tc>
          <w:tcPr>
            <w:tcW w:type="dxa" w:w="175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L1 + L2 (low confidence)</w:t>
            </w:r>
          </w:p>
        </w:tc>
        <w:tc>
          <w:tcPr>
            <w:tcW w:type="dxa" w:w="296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Composite score halved (threshold elevated 2×)</w:t>
            </w:r>
          </w:p>
        </w:tc>
        <w:tc>
          <w:tcPr>
            <w:tcW w:type="dxa" w:w="231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Day 7</w:t>
            </w:r>
          </w:p>
        </w:tc>
      </w:tr>
      <w:tr>
        <w:trPr>
          <w:cantSplit/>
          <w:tblHeader w:val="false"/>
        </w:trPr>
        <w:tc>
          <w:tcPr>
            <w:tcW w:type="dxa" w:w="114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Bootstrap-2</w:t>
            </w:r>
          </w:p>
        </w:tc>
        <w:tc>
          <w:tcPr>
            <w:tcW w:type="dxa" w:w="146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Day 7</w:t>
            </w:r>
          </w:p>
        </w:tc>
        <w:tc>
          <w:tcPr>
            <w:tcW w:type="dxa" w:w="175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All layers, reduced weight</w:t>
            </w:r>
          </w:p>
        </w:tc>
        <w:tc>
          <w:tcPr>
            <w:tcW w:type="dxa" w:w="296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Composite score ÷ 1.5 (threshold elevated 1.5×); analyst review encouraged</w:t>
            </w:r>
          </w:p>
        </w:tc>
        <w:tc>
          <w:tcPr>
            <w:tcW w:type="dxa" w:w="231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Day 14 and contextual buckets ≥ 80% populated</w:t>
            </w:r>
          </w:p>
        </w:tc>
      </w:tr>
      <w:tr>
        <w:trPr>
          <w:cantSplit/>
          <w:tblHeader w:val="false"/>
        </w:trPr>
        <w:tc>
          <w:tcPr>
            <w:tcW w:type="dxa" w:w="114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Mature</w:t>
            </w:r>
          </w:p>
        </w:tc>
        <w:tc>
          <w:tcPr>
            <w:tcW w:type="dxa" w:w="146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Day 14+</w:t>
            </w:r>
          </w:p>
        </w:tc>
        <w:tc>
          <w:tcPr>
            <w:tcW w:type="dxa" w:w="175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All layers</w:t>
            </w:r>
          </w:p>
        </w:tc>
        <w:tc>
          <w:tcPr>
            <w:tcW w:type="dxa" w:w="296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Standard thresholds</w:t>
            </w:r>
          </w:p>
        </w:tc>
        <w:tc>
          <w:tcPr>
            <w:tcW w:type="dxa" w:w="231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Invalidation → Bootstrap-1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State is stored per entity in </w:t>
      </w:r>
      <w:r>
        <w:rPr>
          <w:rFonts w:ascii="Consolas" w:cs="Consolas" w:eastAsia="Consolas" w:hAnsi="Consolas"/>
          <w:color w:val="9B2C2C"/>
          <w:sz w:val="18"/>
          <w:szCs w:val="18"/>
        </w:rPr>
        <w:t xml:space="preserve">ref.baselines</w:t>
      </w:r>
      <w:r>
        <w:t xml:space="preserve"> as </w:t>
      </w:r>
      <w:r>
        <w:rPr>
          <w:rFonts w:ascii="Consolas" w:cs="Consolas" w:eastAsia="Consolas" w:hAnsi="Consolas"/>
          <w:color w:val="9B2C2C"/>
          <w:sz w:val="18"/>
          <w:szCs w:val="18"/>
        </w:rPr>
        <w:t xml:space="preserve">baseline_maturity</w:t>
      </w:r>
      <w:r>
        <w:t xml:space="preserve"> and propagated on every feature vector (TS-04).</w:t>
      </w:r>
    </w:p>
    <w:p>
      <w:pPr>
        <w:pStyle w:val="Heading1"/>
      </w:pPr>
      <w:r>
        <w:t xml:space="preserve">7. Baseline Publication Format (ref.baselines, compacted)</w:t>
      </w:r>
    </w:p>
    <w:p>
      <w:pPr>
        <w:pBdr>
          <w:top w:val="single" w:color="F3F4F6" w:sz="2" w:space="2"/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record BaselineRecord {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string key;  // &lt;layer&gt;|&lt;entity_or_class_or_group&gt;|&lt;feature&gt;|&lt;window&gt;|&lt;context&gt;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string layer;  // population | individual | contextual | peer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double mean; double std; double p95; double p99;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double n_eff;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long   computed_at_ms;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string data_snapshot_id;  // Iceberg snapshot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string maturity;  // for individual entries</w:t>
      </w:r>
    </w:p>
    <w:p>
      <w:pPr>
        <w:pBdr>
          <w:left w:val="single" w:color="2E75B6" w:sz="12" w:space="6"/>
        </w:pBdr>
        <w:shd w:fill="F3F4F6" w:color="auto" w:val="clear"/>
        <w:spacing w:after="16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}</w:t>
      </w:r>
    </w:p>
    <w:p>
      <w:pPr>
        <w:pStyle w:val="Heading1"/>
      </w:pPr>
      <w:r>
        <w:t xml:space="preserve">8. Model Lifecycle</w:t>
      </w:r>
    </w:p>
    <w:p>
      <w:pPr>
        <w:pStyle w:val="Heading2"/>
      </w:pPr>
      <w:r>
        <w:t xml:space="preserve">8.1 Stages</w:t>
      </w:r>
    </w:p>
    <w:p>
      <w:pPr>
        <w:pBdr>
          <w:top w:val="single" w:color="F3F4F6" w:sz="2" w:space="2"/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[Data extraction] -&gt; [Train] -&gt; [Tune (conditional)] -&gt; [Offline evaluation] -&gt; [Register: Candidate]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-&gt; [Shadow 48 h] -&gt; [Promotion gate] -&gt; [Production] -&gt; [Monitor] -&gt; (drift | regression) -&gt; retrain / rollback</w:t>
      </w:r>
    </w:p>
    <w:p>
      <w:pPr>
        <w:pBdr>
          <w:left w:val="single" w:color="2E75B6" w:sz="12" w:space="6"/>
        </w:pBdr>
        <w:shd w:fill="F3F4F6" w:color="auto" w:val="clear"/>
        <w:spacing w:after="16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                             \-&gt; [Rejected] (logged with reason)</w:t>
      </w:r>
    </w:p>
    <w:p>
      <w:pPr>
        <w:pStyle w:val="Heading2"/>
      </w:pPr>
      <w:r>
        <w:t xml:space="preserve">8.2 Training pipeline steps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1"/>
        <w:gridCol w:w="7357"/>
      </w:tblGrid>
      <w:tr>
        <w:trPr>
          <w:cantSplit/>
          <w:tblHeader/>
        </w:trPr>
        <w:tc>
          <w:tcPr>
            <w:tcW w:type="dxa" w:w="228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735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cantSplit/>
          <w:tblHeader w:val="false"/>
        </w:trPr>
        <w:tc>
          <w:tcPr>
            <w:tcW w:type="dxa" w:w="228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 Extract</w:t>
            </w:r>
          </w:p>
        </w:tc>
        <w:tc>
          <w:tcPr>
            <w:tcW w:type="dxa" w:w="735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Point-in-time training set from Iceberg: last 90 days of vectors + labels; snapshot id recorded</w:t>
            </w:r>
          </w:p>
        </w:tc>
      </w:tr>
      <w:tr>
        <w:trPr>
          <w:cantSplit/>
          <w:tblHeader w:val="false"/>
        </w:trPr>
        <w:tc>
          <w:tcPr>
            <w:tcW w:type="dxa" w:w="228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 Validate data</w:t>
            </w:r>
          </w:p>
        </w:tc>
        <w:tc>
          <w:tcPr>
            <w:tcW w:type="dxa" w:w="735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Great Expectations suite: null ratios, ranges, label counts per class; abort on failure</w:t>
            </w:r>
          </w:p>
        </w:tc>
      </w:tr>
      <w:tr>
        <w:trPr>
          <w:cantSplit/>
          <w:tblHeader w:val="false"/>
        </w:trPr>
        <w:tc>
          <w:tcPr>
            <w:tcW w:type="dxa" w:w="228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3 Train</w:t>
            </w:r>
          </w:p>
        </w:tc>
        <w:tc>
          <w:tcPr>
            <w:tcW w:type="dxa" w:w="735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Per model spec in TS-05; seeds fixed; resources 16 vCPU / 64 GiB per job (GPU for M1/M4 optional)</w:t>
            </w:r>
          </w:p>
        </w:tc>
      </w:tr>
      <w:tr>
        <w:trPr>
          <w:cantSplit/>
          <w:tblHeader w:val="false"/>
        </w:trPr>
        <w:tc>
          <w:tcPr>
            <w:tcW w:type="dxa" w:w="228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4 Tune</w:t>
            </w:r>
          </w:p>
        </w:tc>
        <w:tc>
          <w:tcPr>
            <w:tcW w:type="dxa" w:w="735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Run only if previous F1 &lt; target or weekly schedule; Optuna, max 40 trials, 2 h budget</w:t>
            </w:r>
          </w:p>
        </w:tc>
      </w:tr>
      <w:tr>
        <w:trPr>
          <w:cantSplit/>
          <w:tblHeader w:val="false"/>
        </w:trPr>
        <w:tc>
          <w:tcPr>
            <w:tcW w:type="dxa" w:w="228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5 Calibrate</w:t>
            </w:r>
          </w:p>
        </w:tc>
        <w:tc>
          <w:tcPr>
            <w:tcW w:type="dxa" w:w="735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Fit normalisation quantiles (q99, q999) on validation scores; refit fusion precisions P_md</w:t>
            </w:r>
          </w:p>
        </w:tc>
      </w:tr>
      <w:tr>
        <w:trPr>
          <w:cantSplit/>
          <w:tblHeader w:val="false"/>
        </w:trPr>
        <w:tc>
          <w:tcPr>
            <w:tcW w:type="dxa" w:w="228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6 Evaluate</w:t>
            </w:r>
          </w:p>
        </w:tc>
        <w:tc>
          <w:tcPr>
            <w:tcW w:type="dxa" w:w="735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Held-out last 14 days (time-based split) → precision, recall, weighted F1, PR-AUC, per-class and per-domain metrics, bias slices (tier, region, time-of-day)</w:t>
            </w:r>
          </w:p>
        </w:tc>
      </w:tr>
      <w:tr>
        <w:trPr>
          <w:cantSplit/>
          <w:tblHeader w:val="false"/>
        </w:trPr>
        <w:tc>
          <w:tcPr>
            <w:tcW w:type="dxa" w:w="228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7 Register</w:t>
            </w:r>
          </w:p>
        </w:tc>
        <w:tc>
          <w:tcPr>
            <w:tcW w:type="dxa" w:w="735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Artefact (ONNX), metrics, data snapshot, code commit, config, model card; stage = Candidate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8.3 Promotion gate (automatic for minor versions)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4"/>
        <w:gridCol w:w="7014"/>
      </w:tblGrid>
      <w:tr>
        <w:trPr>
          <w:cantSplit/>
          <w:tblHeader/>
        </w:trPr>
        <w:tc>
          <w:tcPr>
            <w:tcW w:type="dxa" w:w="262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70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</w:tr>
      <w:tr>
        <w:trPr>
          <w:cantSplit/>
          <w:tblHeader w:val="false"/>
        </w:trPr>
        <w:tc>
          <w:tcPr>
            <w:tcW w:type="dxa" w:w="262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Offline quality</w:t>
            </w:r>
          </w:p>
        </w:tc>
        <w:tc>
          <w:tcPr>
            <w:tcW w:type="dxa" w:w="70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Candidate F1 ≥ production F1 − 0.005 AND precision ≥ production precision − 0.01</w:t>
            </w:r>
          </w:p>
        </w:tc>
      </w:tr>
      <w:tr>
        <w:trPr>
          <w:cantSplit/>
          <w:tblHeader w:val="false"/>
        </w:trPr>
        <w:tc>
          <w:tcPr>
            <w:tcW w:type="dxa" w:w="262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Shadow quality (48 h)</w:t>
            </w:r>
          </w:p>
        </w:tc>
        <w:tc>
          <w:tcPr>
            <w:tcW w:type="dxa" w:w="70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On analyst-labelled shadow detections: precision and recall both ≥ production</w:t>
            </w:r>
          </w:p>
        </w:tc>
      </w:tr>
      <w:tr>
        <w:trPr>
          <w:cantSplit/>
          <w:tblHeader w:val="false"/>
        </w:trPr>
        <w:tc>
          <w:tcPr>
            <w:tcW w:type="dxa" w:w="262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Volume sanity</w:t>
            </w:r>
          </w:p>
        </w:tc>
        <w:tc>
          <w:tcPr>
            <w:tcW w:type="dxa" w:w="70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Shadow detection volume within [0.7×, 1.3×] of production</w:t>
            </w:r>
          </w:p>
        </w:tc>
      </w:tr>
      <w:tr>
        <w:trPr>
          <w:cantSplit/>
          <w:tblHeader w:val="false"/>
        </w:trPr>
        <w:tc>
          <w:tcPr>
            <w:tcW w:type="dxa" w:w="262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Bias slices</w:t>
            </w:r>
          </w:p>
        </w:tc>
        <w:tc>
          <w:tcPr>
            <w:tcW w:type="dxa" w:w="70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No slice F1 drops &gt; 0.05 vs. production</w:t>
            </w:r>
          </w:p>
        </w:tc>
      </w:tr>
      <w:tr>
        <w:trPr>
          <w:cantSplit/>
          <w:tblHeader w:val="false"/>
        </w:trPr>
        <w:tc>
          <w:tcPr>
            <w:tcW w:type="dxa" w:w="262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Approval</w:t>
            </w:r>
          </w:p>
        </w:tc>
        <w:tc>
          <w:tcPr>
            <w:tcW w:type="dxa" w:w="70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Minor version: automated gate + peer review record. Major version (architecture or feature-set change): ML Governance Committee / CAB approval (TS-10)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8.4 Post-promotion monitoring and rollback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Rolling 6-hour comparison of auto-created-ticket FP rate vs. pre-promotion 7-day baseline.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If FP rate &gt; 2× baseline within 6 h → automatic rollback to previous Production version (registry stage flip + </w:t>
      </w:r>
      <w:r>
        <w:rPr>
          <w:rFonts w:ascii="Consolas" w:cs="Consolas" w:eastAsia="Consolas" w:hAnsi="Consolas"/>
          <w:color w:val="9B2C2C"/>
          <w:sz w:val="18"/>
          <w:szCs w:val="18"/>
        </w:rPr>
        <w:t xml:space="preserve">control.config</w:t>
      </w:r>
      <w:r>
        <w:t xml:space="preserve"> event); incident raised to ML Engineering.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Rolled-back versions are marked </w:t>
      </w:r>
      <w:r>
        <w:rPr>
          <w:rFonts w:ascii="Consolas" w:cs="Consolas" w:eastAsia="Consolas" w:hAnsi="Consolas"/>
          <w:color w:val="9B2C2C"/>
          <w:sz w:val="18"/>
          <w:szCs w:val="18"/>
        </w:rPr>
        <w:t xml:space="preserve">Rejected-PostPromotion</w:t>
      </w:r>
      <w:r>
        <w:t xml:space="preserve"> and cannot be re-promoted without a new version.</w:t>
      </w:r>
    </w:p>
    <w:p>
      <w:pPr>
        <w:pStyle w:val="Heading2"/>
      </w:pPr>
      <w:r>
        <w:t xml:space="preserve">8.5 Drift detection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34"/>
        <w:gridCol w:w="2322"/>
        <w:gridCol w:w="2445"/>
        <w:gridCol w:w="1642"/>
        <w:gridCol w:w="1995"/>
      </w:tblGrid>
      <w:tr>
        <w:trPr>
          <w:cantSplit/>
          <w:tblHeader/>
        </w:trPr>
        <w:tc>
          <w:tcPr>
            <w:tcW w:type="dxa" w:w="123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232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244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Schedule</w:t>
            </w:r>
          </w:p>
        </w:tc>
        <w:tc>
          <w:tcPr>
            <w:tcW w:type="dxa" w:w="164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  <w:tc>
          <w:tcPr>
            <w:tcW w:type="dxa" w:w="199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cantSplit/>
          <w:tblHeader w:val="false"/>
        </w:trPr>
        <w:tc>
          <w:tcPr>
            <w:tcW w:type="dxa" w:w="123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PSI</w:t>
            </w:r>
          </w:p>
        </w:tc>
        <w:tc>
          <w:tcPr>
            <w:tcW w:type="dxa" w:w="232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Top 30 features per class (by SHAP importance)</w:t>
            </w:r>
          </w:p>
        </w:tc>
        <w:tc>
          <w:tcPr>
            <w:tcW w:type="dxa" w:w="244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Daily (10 bins, training distribution as reference)</w:t>
            </w:r>
          </w:p>
        </w:tc>
        <w:tc>
          <w:tcPr>
            <w:tcW w:type="dxa" w:w="164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&gt; 0.2 any feature (KRI)</w:t>
            </w:r>
          </w:p>
        </w:tc>
        <w:tc>
          <w:tcPr>
            <w:tcW w:type="dxa" w:w="199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Immediate retraining signal</w:t>
            </w:r>
          </w:p>
        </w:tc>
      </w:tr>
      <w:tr>
        <w:trPr>
          <w:cantSplit/>
          <w:tblHeader w:val="false"/>
        </w:trPr>
        <w:tc>
          <w:tcPr>
            <w:tcW w:type="dxa" w:w="123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PSI</w:t>
            </w:r>
          </w:p>
        </w:tc>
        <w:tc>
          <w:tcPr>
            <w:tcW w:type="dxa" w:w="232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Composite and per-model scores</w:t>
            </w:r>
          </w:p>
        </w:tc>
        <w:tc>
          <w:tcPr>
            <w:tcW w:type="dxa" w:w="244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Daily</w:t>
            </w:r>
          </w:p>
        </w:tc>
        <w:tc>
          <w:tcPr>
            <w:tcW w:type="dxa" w:w="164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&gt; 0.2</w:t>
            </w:r>
          </w:p>
        </w:tc>
        <w:tc>
          <w:tcPr>
            <w:tcW w:type="dxa" w:w="199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Retraining + calibration refresh</w:t>
            </w:r>
          </w:p>
        </w:tc>
      </w:tr>
      <w:tr>
        <w:trPr>
          <w:cantSplit/>
          <w:tblHeader w:val="false"/>
        </w:trPr>
        <w:tc>
          <w:tcPr>
            <w:tcW w:type="dxa" w:w="123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KS two-sample</w:t>
            </w:r>
          </w:p>
        </w:tc>
        <w:tc>
          <w:tcPr>
            <w:tcW w:type="dxa" w:w="232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Same features</w:t>
            </w:r>
          </w:p>
        </w:tc>
        <w:tc>
          <w:tcPr>
            <w:tcW w:type="dxa" w:w="244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Daily</w:t>
            </w:r>
          </w:p>
        </w:tc>
        <w:tc>
          <w:tcPr>
            <w:tcW w:type="dxa" w:w="164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 &lt; 0.01 and D &gt; 0.1</w:t>
            </w:r>
          </w:p>
        </w:tc>
        <w:tc>
          <w:tcPr>
            <w:tcW w:type="dxa" w:w="199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Logged; retrain if persists 3 days</w:t>
            </w:r>
          </w:p>
        </w:tc>
      </w:tr>
      <w:tr>
        <w:trPr>
          <w:cantSplit/>
          <w:tblHeader w:val="false"/>
        </w:trPr>
        <w:tc>
          <w:tcPr>
            <w:tcW w:type="dxa" w:w="123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Performance</w:t>
            </w:r>
          </w:p>
        </w:tc>
        <w:tc>
          <w:tcPr>
            <w:tcW w:type="dxa" w:w="232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Weighted F1 on rolling labelled set</w:t>
            </w:r>
          </w:p>
        </w:tc>
        <w:tc>
          <w:tcPr>
            <w:tcW w:type="dxa" w:w="244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Hourly</w:t>
            </w:r>
          </w:p>
        </w:tc>
        <w:tc>
          <w:tcPr>
            <w:tcW w:type="dxa" w:w="164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&lt; 0.85</w:t>
            </w:r>
          </w:p>
        </w:tc>
        <w:tc>
          <w:tcPr>
            <w:tcW w:type="dxa" w:w="199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Retrain with tuning</w:t>
            </w:r>
          </w:p>
        </w:tc>
      </w:tr>
    </w:tbl>
    <w:p>
      <w:pPr>
        <w:spacing w:after="80"/>
      </w:pPr>
    </w:p>
    <w:p>
      <w:pPr>
        <w:pBdr>
          <w:top w:val="single" w:color="F3F4F6" w:sz="2" w:space="2"/>
          <w:left w:val="single" w:color="2E75B6" w:sz="12" w:space="6"/>
        </w:pBdr>
        <w:shd w:fill="F3F4F6" w:color="auto" w:val="clear"/>
        <w:spacing w:after="16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PSI = Σ_i (a_i − e_i) · ln(a_i / e_i)  # a = actual bin share, e = expected bin share, ε = 1e-4 floor</w:t>
      </w:r>
    </w:p>
    <w:p>
      <w:pPr>
        <w:pStyle w:val="Heading1"/>
      </w:pPr>
      <w:r>
        <w:t xml:space="preserve">9. Model Registry Schema (minimum fields)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8"/>
        <w:gridCol w:w="4630"/>
      </w:tblGrid>
      <w:tr>
        <w:trPr>
          <w:cantSplit/>
          <w:tblHeader/>
        </w:trPr>
        <w:tc>
          <w:tcPr>
            <w:tcW w:type="dxa" w:w="500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463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  <w:tblHeader w:val="false"/>
        </w:trPr>
        <w:tc>
          <w:tcPr>
            <w:tcW w:type="dxa" w:w="500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model_name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version</w:t>
            </w:r>
            <w:r>
              <w:rPr>
                <w:sz w:val="18"/>
                <w:szCs w:val="18"/>
              </w:rPr>
              <w:t xml:space="preserve"> (semver),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stage</w:t>
            </w:r>
          </w:p>
        </w:tc>
        <w:tc>
          <w:tcPr>
            <w:tcW w:type="dxa" w:w="463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Candidate / Shadow / Production / Archived / Rejected</w:t>
            </w:r>
          </w:p>
        </w:tc>
      </w:tr>
      <w:tr>
        <w:trPr>
          <w:cantSplit/>
          <w:tblHeader w:val="false"/>
        </w:trPr>
        <w:tc>
          <w:tcPr>
            <w:tcW w:type="dxa" w:w="500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training_data_snapshot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feature_registry_version</w:t>
            </w:r>
          </w:p>
        </w:tc>
        <w:tc>
          <w:tcPr>
            <w:tcW w:type="dxa" w:w="463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Lineage</w:t>
            </w:r>
          </w:p>
        </w:tc>
      </w:tr>
      <w:tr>
        <w:trPr>
          <w:cantSplit/>
          <w:tblHeader w:val="false"/>
        </w:trPr>
        <w:tc>
          <w:tcPr>
            <w:tcW w:type="dxa" w:w="500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code_commit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container_image_digest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config_hash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seed</w:t>
            </w:r>
          </w:p>
        </w:tc>
        <w:tc>
          <w:tcPr>
            <w:tcW w:type="dxa" w:w="463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Reproducibility</w:t>
            </w:r>
          </w:p>
        </w:tc>
      </w:tr>
      <w:tr>
        <w:trPr>
          <w:cantSplit/>
          <w:tblHeader w:val="false"/>
        </w:trPr>
        <w:tc>
          <w:tcPr>
            <w:tcW w:type="dxa" w:w="500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metrics</w:t>
            </w:r>
          </w:p>
        </w:tc>
        <w:tc>
          <w:tcPr>
            <w:tcW w:type="dxa" w:w="463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Offline and shadow metrics including bias slices</w:t>
            </w:r>
          </w:p>
        </w:tc>
      </w:tr>
      <w:tr>
        <w:trPr>
          <w:cantSplit/>
          <w:tblHeader w:val="false"/>
        </w:trPr>
        <w:tc>
          <w:tcPr>
            <w:tcW w:type="dxa" w:w="500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approval</w:t>
            </w:r>
          </w:p>
        </w:tc>
        <w:tc>
          <w:tcPr>
            <w:tcW w:type="dxa" w:w="463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Approver(s), channel, timestamp, change reference</w:t>
            </w:r>
          </w:p>
        </w:tc>
      </w:tr>
      <w:tr>
        <w:trPr>
          <w:cantSplit/>
          <w:tblHeader w:val="false"/>
        </w:trPr>
        <w:tc>
          <w:tcPr>
            <w:tcW w:type="dxa" w:w="500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retirement_date</w:t>
            </w:r>
          </w:p>
        </w:tc>
        <w:tc>
          <w:tcPr>
            <w:tcW w:type="dxa" w:w="463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Mandatory; default 12 months after promotion</w:t>
            </w:r>
          </w:p>
        </w:tc>
      </w:tr>
      <w:tr>
        <w:trPr>
          <w:cantSplit/>
          <w:tblHeader w:val="false"/>
        </w:trPr>
        <w:tc>
          <w:tcPr>
            <w:tcW w:type="dxa" w:w="500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model_card_uri</w:t>
            </w:r>
          </w:p>
        </w:tc>
        <w:tc>
          <w:tcPr>
            <w:tcW w:type="dxa" w:w="463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Intended use, limitations, known failure modes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10. Configuration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2"/>
        <w:gridCol w:w="2131"/>
        <w:gridCol w:w="2695"/>
      </w:tblGrid>
      <w:tr>
        <w:trPr>
          <w:cantSplit/>
          <w:tblHeader/>
        </w:trPr>
        <w:tc>
          <w:tcPr>
            <w:tcW w:type="dxa" w:w="481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213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269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Range</w:t>
            </w:r>
          </w:p>
        </w:tc>
      </w:tr>
      <w:tr>
        <w:trPr>
          <w:cantSplit/>
          <w:tblHeader w:val="false"/>
        </w:trPr>
        <w:tc>
          <w:tcPr>
            <w:tcW w:type="dxa" w:w="481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baseline.individual.window_days</w:t>
            </w:r>
          </w:p>
        </w:tc>
        <w:tc>
          <w:tcPr>
            <w:tcW w:type="dxa" w:w="213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28</w:t>
            </w:r>
          </w:p>
        </w:tc>
        <w:tc>
          <w:tcPr>
            <w:tcW w:type="dxa" w:w="269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14–56</w:t>
            </w:r>
          </w:p>
        </w:tc>
      </w:tr>
      <w:tr>
        <w:trPr>
          <w:cantSplit/>
          <w:tblHeader w:val="false"/>
        </w:trPr>
        <w:tc>
          <w:tcPr>
            <w:tcW w:type="dxa" w:w="481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baseline.individual.recent_days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recent_weight</w:t>
            </w:r>
          </w:p>
        </w:tc>
        <w:tc>
          <w:tcPr>
            <w:tcW w:type="dxa" w:w="213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7 / 4</w:t>
            </w:r>
          </w:p>
        </w:tc>
        <w:tc>
          <w:tcPr>
            <w:tcW w:type="dxa" w:w="269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3–14 / 1–8</w:t>
            </w:r>
          </w:p>
        </w:tc>
      </w:tr>
      <w:tr>
        <w:trPr>
          <w:cantSplit/>
          <w:tblHeader w:val="false"/>
        </w:trPr>
        <w:tc>
          <w:tcPr>
            <w:tcW w:type="dxa" w:w="481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baseline.bootstrap.days</w:t>
            </w:r>
          </w:p>
        </w:tc>
        <w:tc>
          <w:tcPr>
            <w:tcW w:type="dxa" w:w="213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3 / 7 / 14</w:t>
            </w:r>
          </w:p>
        </w:tc>
        <w:tc>
          <w:tcPr>
            <w:tcW w:type="dxa" w:w="269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Fixed per policy</w:t>
            </w:r>
          </w:p>
        </w:tc>
      </w:tr>
      <w:tr>
        <w:trPr>
          <w:cantSplit/>
          <w:tblHeader w:val="false"/>
        </w:trPr>
        <w:tc>
          <w:tcPr>
            <w:tcW w:type="dxa" w:w="481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baseline.post_deploy.minutes</w:t>
            </w:r>
          </w:p>
        </w:tc>
        <w:tc>
          <w:tcPr>
            <w:tcW w:type="dxa" w:w="213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dxa" w:w="269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10–120</w:t>
            </w:r>
          </w:p>
        </w:tc>
      </w:tr>
      <w:tr>
        <w:trPr>
          <w:cantSplit/>
          <w:tblHeader w:val="false"/>
        </w:trPr>
        <w:tc>
          <w:tcPr>
            <w:tcW w:type="dxa" w:w="481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train.lookback_days</w:t>
            </w:r>
          </w:p>
        </w:tc>
        <w:tc>
          <w:tcPr>
            <w:tcW w:type="dxa" w:w="213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90</w:t>
            </w:r>
          </w:p>
        </w:tc>
        <w:tc>
          <w:tcPr>
            <w:tcW w:type="dxa" w:w="269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30–180</w:t>
            </w:r>
          </w:p>
        </w:tc>
      </w:tr>
      <w:tr>
        <w:trPr>
          <w:cantSplit/>
          <w:tblHeader w:val="false"/>
        </w:trPr>
        <w:tc>
          <w:tcPr>
            <w:tcW w:type="dxa" w:w="481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shadow.hours</w:t>
            </w:r>
          </w:p>
        </w:tc>
        <w:tc>
          <w:tcPr>
            <w:tcW w:type="dxa" w:w="213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48</w:t>
            </w:r>
          </w:p>
        </w:tc>
        <w:tc>
          <w:tcPr>
            <w:tcW w:type="dxa" w:w="269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24–168</w:t>
            </w:r>
          </w:p>
        </w:tc>
      </w:tr>
      <w:tr>
        <w:trPr>
          <w:cantSplit/>
          <w:tblHeader w:val="false"/>
        </w:trPr>
        <w:tc>
          <w:tcPr>
            <w:tcW w:type="dxa" w:w="481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rollback.fp_multiplier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window_hours</w:t>
            </w:r>
          </w:p>
        </w:tc>
        <w:tc>
          <w:tcPr>
            <w:tcW w:type="dxa" w:w="213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2.0 / 6</w:t>
            </w:r>
          </w:p>
        </w:tc>
        <w:tc>
          <w:tcPr>
            <w:tcW w:type="dxa" w:w="269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1.5–3.0 / 2–24</w:t>
            </w:r>
          </w:p>
        </w:tc>
      </w:tr>
      <w:tr>
        <w:trPr>
          <w:cantSplit/>
          <w:tblHeader w:val="false"/>
        </w:trPr>
        <w:tc>
          <w:tcPr>
            <w:tcW w:type="dxa" w:w="481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drift.psi_threshold</w:t>
            </w:r>
          </w:p>
        </w:tc>
        <w:tc>
          <w:tcPr>
            <w:tcW w:type="dxa" w:w="213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0.2</w:t>
            </w:r>
          </w:p>
        </w:tc>
        <w:tc>
          <w:tcPr>
            <w:tcW w:type="dxa" w:w="269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0.1–0.25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11. Failure Modes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88"/>
        <w:gridCol w:w="5450"/>
      </w:tblGrid>
      <w:tr>
        <w:trPr>
          <w:cantSplit/>
          <w:tblHeader/>
        </w:trPr>
        <w:tc>
          <w:tcPr>
            <w:tcW w:type="dxa" w:w="418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Failure</w:t>
            </w:r>
          </w:p>
        </w:tc>
        <w:tc>
          <w:tcPr>
            <w:tcW w:type="dxa" w:w="54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Handling</w:t>
            </w:r>
          </w:p>
        </w:tc>
      </w:tr>
      <w:tr>
        <w:trPr>
          <w:cantSplit/>
          <w:tblHeader w:val="false"/>
        </w:trPr>
        <w:tc>
          <w:tcPr>
            <w:tcW w:type="dxa" w:w="418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Training job fails</w:t>
            </w:r>
          </w:p>
        </w:tc>
        <w:tc>
          <w:tcPr>
            <w:tcW w:type="dxa" w:w="54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Production model unchanged; retry once; alert ML Engineering; daily-retrain SLO tracked</w:t>
            </w:r>
          </w:p>
        </w:tc>
      </w:tr>
      <w:tr>
        <w:trPr>
          <w:cantSplit/>
          <w:tblHeader w:val="false"/>
        </w:trPr>
        <w:tc>
          <w:tcPr>
            <w:tcW w:type="dxa" w:w="418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Data validation fails (label flood, nulls)</w:t>
            </w:r>
          </w:p>
        </w:tc>
        <w:tc>
          <w:tcPr>
            <w:tcW w:type="dxa" w:w="54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Abort; investigate source; no promotion that day</w:t>
            </w:r>
          </w:p>
        </w:tc>
      </w:tr>
      <w:tr>
        <w:trPr>
          <w:cantSplit/>
          <w:tblHeader w:val="false"/>
        </w:trPr>
        <w:tc>
          <w:tcPr>
            <w:tcW w:type="dxa" w:w="418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Baseline job late</w:t>
            </w:r>
          </w:p>
        </w:tc>
        <w:tc>
          <w:tcPr>
            <w:tcW w:type="dxa" w:w="54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Previous baselines retained;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baseline_stale</w:t>
            </w:r>
            <w:r>
              <w:rPr>
                <w:sz w:val="18"/>
                <w:szCs w:val="18"/>
              </w:rPr>
              <w:t xml:space="preserve"> flag after 36 h; P3 incident</w:t>
            </w:r>
          </w:p>
        </w:tc>
      </w:tr>
      <w:tr>
        <w:trPr>
          <w:cantSplit/>
          <w:tblHeader w:val="false"/>
        </w:trPr>
        <w:tc>
          <w:tcPr>
            <w:tcW w:type="dxa" w:w="418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Registry unavailable</w:t>
            </w:r>
          </w:p>
        </w:tc>
        <w:tc>
          <w:tcPr>
            <w:tcW w:type="dxa" w:w="54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Inference keeps loaded models; no promotions until restored</w:t>
            </w:r>
          </w:p>
        </w:tc>
      </w:tr>
      <w:tr>
        <w:trPr>
          <w:cantSplit/>
          <w:tblHeader w:val="false"/>
        </w:trPr>
        <w:tc>
          <w:tcPr>
            <w:tcW w:type="dxa" w:w="418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Drift caused by legitimate business change (e.g. festive peak)</w:t>
            </w:r>
          </w:p>
        </w:tc>
        <w:tc>
          <w:tcPr>
            <w:tcW w:type="dxa" w:w="54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Analyst can declare a "known regime" calendar entry: drift alerts suppressed, contextual baselines tagged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12. Security Controls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0"/>
        <w:gridCol w:w="7358"/>
      </w:tblGrid>
      <w:tr>
        <w:trPr>
          <w:cantSplit/>
          <w:tblHeader/>
        </w:trPr>
        <w:tc>
          <w:tcPr>
            <w:tcW w:type="dxa" w:w="228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3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</w:tr>
      <w:tr>
        <w:trPr>
          <w:cantSplit/>
          <w:tblHeader w:val="false"/>
        </w:trPr>
        <w:tc>
          <w:tcPr>
            <w:tcW w:type="dxa" w:w="228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TS06-SEC-001</w:t>
            </w:r>
          </w:p>
        </w:tc>
        <w:tc>
          <w:tcPr>
            <w:tcW w:type="dxa" w:w="73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Training reads pseudonymised data only (TS-10)</w:t>
            </w:r>
          </w:p>
        </w:tc>
      </w:tr>
      <w:tr>
        <w:trPr>
          <w:cantSplit/>
          <w:tblHeader w:val="false"/>
        </w:trPr>
        <w:tc>
          <w:tcPr>
            <w:tcW w:type="dxa" w:w="228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TS06-SEC-002</w:t>
            </w:r>
          </w:p>
        </w:tc>
        <w:tc>
          <w:tcPr>
            <w:tcW w:type="dxa" w:w="73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Registry stage transitions to Production require service identity of promotion gate or approver role; all transitions audited</w:t>
            </w:r>
          </w:p>
        </w:tc>
      </w:tr>
      <w:tr>
        <w:trPr>
          <w:cantSplit/>
          <w:tblHeader w:val="false"/>
        </w:trPr>
        <w:tc>
          <w:tcPr>
            <w:tcW w:type="dxa" w:w="228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TS06-SEC-003</w:t>
            </w:r>
          </w:p>
        </w:tc>
        <w:tc>
          <w:tcPr>
            <w:tcW w:type="dxa" w:w="73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Artefacts signed (cosign) and stored in immutable object-storage versioning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13. Acceptance Criteria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0"/>
        <w:gridCol w:w="7398"/>
      </w:tblGrid>
      <w:tr>
        <w:trPr>
          <w:cantSplit/>
          <w:tblHeader/>
        </w:trPr>
        <w:tc>
          <w:tcPr>
            <w:tcW w:type="dxa" w:w="22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39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Criterion</w:t>
            </w:r>
          </w:p>
        </w:tc>
      </w:tr>
      <w:tr>
        <w:trPr>
          <w:cantSplit/>
          <w:tblHeader w:val="false"/>
        </w:trPr>
        <w:tc>
          <w:tcPr>
            <w:tcW w:type="dxa" w:w="22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TS06-AC-001</w:t>
            </w:r>
          </w:p>
        </w:tc>
        <w:tc>
          <w:tcPr>
            <w:tcW w:type="dxa" w:w="739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New synthetic entity progresses Bootstrap-0 → Mature on schedule with correct threshold elevation verified in detections</w:t>
            </w:r>
          </w:p>
        </w:tc>
      </w:tr>
      <w:tr>
        <w:trPr>
          <w:cantSplit/>
          <w:tblHeader w:val="false"/>
        </w:trPr>
        <w:tc>
          <w:tcPr>
            <w:tcW w:type="dxa" w:w="22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TS06-AC-002</w:t>
            </w:r>
          </w:p>
        </w:tc>
        <w:tc>
          <w:tcPr>
            <w:tcW w:type="dxa" w:w="739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CMDB invalidation event resets entity to Bootstrap-1 within 1 baseline cycle</w:t>
            </w:r>
          </w:p>
        </w:tc>
      </w:tr>
      <w:tr>
        <w:trPr>
          <w:cantSplit/>
          <w:tblHeader w:val="false"/>
        </w:trPr>
        <w:tc>
          <w:tcPr>
            <w:tcW w:type="dxa" w:w="22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TS06-AC-003</w:t>
            </w:r>
          </w:p>
        </w:tc>
        <w:tc>
          <w:tcPr>
            <w:tcW w:type="dxa" w:w="739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Deliberately degraded candidate is rejected at promotion gate with reason recorded</w:t>
            </w:r>
          </w:p>
        </w:tc>
      </w:tr>
      <w:tr>
        <w:trPr>
          <w:cantSplit/>
          <w:tblHeader w:val="false"/>
        </w:trPr>
        <w:tc>
          <w:tcPr>
            <w:tcW w:type="dxa" w:w="22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TS06-AC-004</w:t>
            </w:r>
          </w:p>
        </w:tc>
        <w:tc>
          <w:tcPr>
            <w:tcW w:type="dxa" w:w="739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Simulated FP surge after promotion triggers rollback within 5 min of threshold breach</w:t>
            </w:r>
          </w:p>
        </w:tc>
      </w:tr>
      <w:tr>
        <w:trPr>
          <w:cantSplit/>
          <w:tblHeader w:val="false"/>
        </w:trPr>
        <w:tc>
          <w:tcPr>
            <w:tcW w:type="dxa" w:w="22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TS06-AC-005</w:t>
            </w:r>
          </w:p>
        </w:tc>
        <w:tc>
          <w:tcPr>
            <w:tcW w:type="dxa" w:w="739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Injected distribution shift (PSI 0.3) triggers retraining signal the same day</w:t>
            </w:r>
          </w:p>
        </w:tc>
      </w:tr>
      <w:tr>
        <w:trPr>
          <w:cantSplit/>
          <w:tblHeader w:val="false"/>
        </w:trPr>
        <w:tc>
          <w:tcPr>
            <w:tcW w:type="dxa" w:w="22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TS06-AC-006</w:t>
            </w:r>
          </w:p>
        </w:tc>
        <w:tc>
          <w:tcPr>
            <w:tcW w:type="dxa" w:w="739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Any production model rebuilt from lineage reproduces evaluation metrics within ±0.005 F1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14. Assumptions and Open Issues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238"/>
      </w:tblGrid>
      <w:tr>
        <w:trPr>
          <w:cantSplit/>
          <w:tblHeader/>
        </w:trPr>
        <w:tc>
          <w:tcPr>
            <w:tcW w:type="dxa" w:w="1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82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A-01</w:t>
            </w:r>
          </w:p>
        </w:tc>
        <w:tc>
          <w:tcPr>
            <w:tcW w:type="dxa" w:w="82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Analyst labels on ≥ 80% of P1/P2 incidents (KPI) — shadow precision/recall requires labelled shadow sample; if unavailable, gate uses offline metrics plus volume sanity only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OI-01</w:t>
            </w:r>
          </w:p>
        </w:tc>
        <w:tc>
          <w:tcPr>
            <w:tcW w:type="dxa" w:w="82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Business calendar (festivals, quarter-end, sales events) source for "known regime" entries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color w:val="595959"/>
        <w:sz w:val="16"/>
        <w:szCs w:val="16"/>
      </w:rPr>
      <w:t xml:space="preserve">Sakul Gupta · Confidential</w:t>
    </w:r>
    <w:r>
      <w:rPr>
        <w:color w:val="595959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9D4" w:sz="4" w:space="4"/>
      </w:pBdr>
      <w:tabs>
        <w:tab w:val="right" w:pos="9638"/>
      </w:tabs>
    </w:pPr>
    <w:r>
      <w:rPr>
        <w:color w:val="595959"/>
        <w:sz w:val="16"/>
        <w:szCs w:val="16"/>
      </w:rPr>
      <w:t xml:space="preserve">TS-06 · Behavioural Baselining and Model Lifecycle (MLOps)</w:t>
    </w:r>
    <w:r>
      <w:rPr>
        <w:color w:val="595959"/>
        <w:sz w:val="16"/>
        <w:szCs w:val="16"/>
      </w:rPr>
      <w:t xml:space="preserve">	Technical Specification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333F4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TS-06 Behavioural Baselining and Model Lifecycle (MLOps)</dc:title>
  <dc:creator>Sakul Gupta</dc:creator>
  <cp:lastModifiedBy>Un-named</cp:lastModifiedBy>
  <cp:revision>1</cp:revision>
  <dcterms:created xsi:type="dcterms:W3CDTF">2026-10-14T09:35:30.798Z</dcterms:created>
  <dcterms:modified xsi:type="dcterms:W3CDTF">2026-10-14T09:35:30.798Z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