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2E75B6"/>
          <w:spacing w:val="40"/>
          <w:sz w:val="22"/>
          <w:szCs w:val="22"/>
        </w:rPr>
        <w:t xml:space="preserve">TECHNICAL SPECIFICATION</w:t>
      </w:r>
    </w:p>
    <w:p>
      <w:pPr>
        <w:spacing w:after="80"/>
      </w:pPr>
      <w:r>
        <w:rPr>
          <w:b/>
          <w:bCs/>
          <w:color w:val="595959"/>
          <w:sz w:val="32"/>
          <w:szCs w:val="32"/>
        </w:rPr>
        <w:t xml:space="preserve">TS-09</w:t>
      </w:r>
    </w:p>
    <w:p>
      <w:pPr>
        <w:spacing w:after="240"/>
      </w:pPr>
      <w:r>
        <w:rPr>
          <w:b/>
          <w:bCs/>
          <w:color w:val="1F3A5F"/>
          <w:sz w:val="48"/>
          <w:szCs w:val="48"/>
        </w:rPr>
        <w:t xml:space="preserve">Deployment Architecture, HA/DR and Platform Security</w:t>
      </w:r>
    </w:p>
    <w:p>
      <w:pPr>
        <w:pBdr>
          <w:bottom w:val="single" w:color="2E75B6" w:sz="12" w:space="4"/>
        </w:pBdr>
        <w:spacing w:after="240"/>
      </w:pPr>
    </w:p>
    <w:p>
      <w:pPr>
        <w:spacing w:after="360"/>
      </w:pPr>
      <w:r>
        <w:rPr>
          <w:i/>
          <w:iCs/>
          <w:color w:val="595959"/>
          <w:sz w:val="22"/>
          <w:szCs w:val="22"/>
        </w:rPr>
        <w:t xml:space="preserve">Kubernetes topology, namespaces, sizing, storage classes, multi-AZ placement, multi-region active-active and warm-standby DR, network segmentation, identity, encryption and supply-chain controls for the whole solution.</w:t>
      </w:r>
    </w:p>
    <w:p>
      <w:pPr>
        <w:spacing w:after="120"/>
      </w:pPr>
      <w:r>
        <w:rPr>
          <w:b/>
          <w:bCs/>
          <w:color w:val="1F3A5F"/>
          <w:sz w:val="20"/>
          <w:szCs w:val="20"/>
        </w:rPr>
        <w:t xml:space="preserve">Proactive Infrastructure Disruption Detection &amp; Automated Incident Response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7"/>
        <w:gridCol w:w="6151"/>
      </w:tblGrid>
      <w:tr>
        <w:trPr>
          <w:cantSplit/>
          <w:tblHeader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Specification ID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TS-09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Version / Status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1.0 / Draft for architecture review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14 October 2026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Author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Sakul Gupta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Source white paper sections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08 Deployment Architecture &amp; Infrastructure · 13C (Multi-Region &amp; Disaster Recovery)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Depends on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TS-01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 context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Industry-neutral; regulated-industry controls exposed as configuration</w:t>
            </w:r>
          </w:p>
        </w:tc>
      </w:tr>
      <w:tr>
        <w:trPr>
          <w:cantSplit/>
          <w:tblHeader w:val="false"/>
        </w:trPr>
        <w:tc>
          <w:tcPr>
            <w:tcW w:type="dxa" w:w="34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Document structure</w:t>
            </w:r>
          </w:p>
        </w:tc>
        <w:tc>
          <w:tcPr>
            <w:tcW w:type="dxa" w:w="61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Part A — Design-level specification · Part B — Low-level (build-ready) specification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20" w:before="200"/>
      </w:pPr>
      <w:r>
        <w:rPr>
          <w:b/>
          <w:bCs/>
          <w:color w:val="1F3A5F"/>
          <w:sz w:val="20"/>
          <w:szCs w:val="20"/>
        </w:rPr>
        <w:t xml:space="preserve">PART A — DESIGN-LEVEL SPECIFICATION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1. Purpose and Scope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2. Deployment Topology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3. Namespaces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4. Non-Functional Requirements</w:t>
      </w:r>
    </w:p>
    <w:p>
      <w:pPr>
        <w:spacing w:after="20" w:before="200"/>
      </w:pPr>
      <w:r>
        <w:rPr>
          <w:b/>
          <w:bCs/>
          <w:color w:val="1F3A5F"/>
          <w:sz w:val="20"/>
          <w:szCs w:val="20"/>
        </w:rPr>
        <w:t xml:space="preserve">PART B — LOW-LEVEL SPECIFICATION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5. Reference Component Specification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6. Placement and Availability Controls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applied to every stateless Deployment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7. Multi-Region and Disaster Recovery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7.1 Modes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7.2 Replication matrix</w:t>
      </w:r>
    </w:p>
    <w:p>
      <w:pPr>
        <w:spacing w:after="10"/>
        <w:ind w:left="360"/>
      </w:pPr>
      <w:r>
        <w:rPr>
          <w:color w:val="595959"/>
          <w:sz w:val="17"/>
          <w:szCs w:val="17"/>
        </w:rPr>
        <w:t xml:space="preserve">7.3 Failover runbook (warm standby)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8. Network Segmentation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9. Security Controls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10. Failure Modes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11. Acceptance Criteria</w:t>
      </w:r>
    </w:p>
    <w:p>
      <w:pPr>
        <w:spacing w:after="20" w:before="60"/>
      </w:pPr>
      <w:r>
        <w:rPr>
          <w:b w:val="false"/>
          <w:bCs w:val="false"/>
          <w:color w:val="1F2937"/>
          <w:sz w:val="19"/>
          <w:szCs w:val="19"/>
        </w:rPr>
        <w:t xml:space="preserve">12. Assumptions and Open Issues</w:t>
      </w:r>
    </w:p>
    <w:p>
      <w:r>
        <w:br w:type="page"/>
      </w:r>
    </w:p>
    <w:p>
      <w:pPr>
        <w:pStyle w:val="Heading1"/>
        <w:pBdr>
          <w:left w:val="single" w:color="1F3A5F" w:sz="24" w:space="6"/>
        </w:pBdr>
        <w:shd w:fill="EAF1F8" w:color="auto" w:val="clear"/>
        <w:spacing w:after="200" w:before="480"/>
      </w:pPr>
      <w:r>
        <w:t xml:space="preserve">PART A — DESIGN-LEVEL SPECIFICATION</w:t>
      </w:r>
    </w:p>
    <w:p>
      <w:pPr>
        <w:pStyle w:val="Heading1"/>
      </w:pPr>
      <w:r>
        <w:t xml:space="preserve">1. Purpose and Scope</w:t>
      </w:r>
    </w:p>
    <w:p>
      <w:pPr>
        <w:spacing w:after="120"/>
      </w:pPr>
      <w:r>
        <w:t xml:space="preserve">Defines where and how every component runs: cluster layout, resource specifications, placement and anti-affinity, persistent storage, high availability across three availability zones, cross-region disaster recovery, and the platform security baseline. Elastic scaling behaviour is specified in TS-12.</w:t>
      </w:r>
    </w:p>
    <w:p>
      <w:pPr>
        <w:pStyle w:val="Heading1"/>
      </w:pPr>
      <w:r>
        <w:t xml:space="preserve">2. Deployment Topology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7"/>
        <w:gridCol w:w="7571"/>
      </w:tblGrid>
      <w:tr>
        <w:trPr>
          <w:cantSplit/>
          <w:tblHeader/>
        </w:trPr>
        <w:tc>
          <w:tcPr>
            <w:tcW w:type="dxa" w:w="20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</w:t>
            </w:r>
          </w:p>
        </w:tc>
        <w:tc>
          <w:tcPr>
            <w:tcW w:type="dxa" w:w="75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Specification</w:t>
            </w:r>
          </w:p>
        </w:tc>
      </w:tr>
      <w:tr>
        <w:trPr>
          <w:cantSplit/>
          <w:tblHeader w:val="false"/>
        </w:trPr>
        <w:tc>
          <w:tcPr>
            <w:tcW w:type="dxa" w:w="20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Kubernetes</w:t>
            </w:r>
          </w:p>
        </w:tc>
        <w:tc>
          <w:tcPr>
            <w:tcW w:type="dxa" w:w="75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CNCF-conformant ≥ 1.29; managed (EKS/AKS/GKE) or on-premises (OpenShift/Rancher/vanilla)</w:t>
            </w:r>
          </w:p>
        </w:tc>
      </w:tr>
      <w:tr>
        <w:trPr>
          <w:cantSplit/>
          <w:tblHeader w:val="false"/>
        </w:trPr>
        <w:tc>
          <w:tcPr>
            <w:tcW w:type="dxa" w:w="20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Clusters per region</w:t>
            </w:r>
          </w:p>
        </w:tc>
        <w:tc>
          <w:tcPr>
            <w:tcW w:type="dxa" w:w="75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 production cluster (3 AZs) + 1 non-production cluster; optional dedicated data cluster for Kafka/OpenSearch when on bare metal</w:t>
            </w:r>
          </w:p>
        </w:tc>
      </w:tr>
      <w:tr>
        <w:trPr>
          <w:cantSplit/>
          <w:tblHeader w:val="false"/>
        </w:trPr>
        <w:tc>
          <w:tcPr>
            <w:tcW w:type="dxa" w:w="20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Node pools</w:t>
            </w:r>
          </w:p>
        </w:tc>
        <w:tc>
          <w:tcPr>
            <w:tcW w:type="dxa" w:w="75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system</w:t>
            </w:r>
            <w:r>
              <w:rPr>
                <w:sz w:val="18"/>
                <w:szCs w:val="18"/>
              </w:rPr>
              <w:t xml:space="preserve"> (control add-ons),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stream</w:t>
            </w:r>
            <w:r>
              <w:rPr>
                <w:sz w:val="18"/>
                <w:szCs w:val="18"/>
              </w:rPr>
              <w:t xml:space="preserve"> (Flink, Kafka if in-cluster),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data</w:t>
            </w:r>
            <w:r>
              <w:rPr>
                <w:sz w:val="18"/>
                <w:szCs w:val="18"/>
              </w:rPr>
              <w:t xml:space="preserve"> (Redis, OpenSearch, VictoriaMetrics, PostgreSQL),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ml</w:t>
            </w:r>
            <w:r>
              <w:rPr>
                <w:sz w:val="18"/>
                <w:szCs w:val="18"/>
              </w:rPr>
              <w:t xml:space="preserve"> (inference; optional GPU),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batch</w:t>
            </w:r>
            <w:r>
              <w:rPr>
                <w:sz w:val="18"/>
                <w:szCs w:val="18"/>
              </w:rPr>
              <w:t xml:space="preserve"> (training jobs, spot/pre-emptible allowed),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apps</w:t>
            </w:r>
            <w:r>
              <w:rPr>
                <w:sz w:val="18"/>
                <w:szCs w:val="18"/>
              </w:rPr>
              <w:t xml:space="preserve"> (decision, integration, agents, gateway)</w:t>
            </w:r>
          </w:p>
        </w:tc>
      </w:tr>
      <w:tr>
        <w:trPr>
          <w:cantSplit/>
          <w:tblHeader w:val="false"/>
        </w:trPr>
        <w:tc>
          <w:tcPr>
            <w:tcW w:type="dxa" w:w="20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Service mesh</w:t>
            </w:r>
          </w:p>
        </w:tc>
        <w:tc>
          <w:tcPr>
            <w:tcW w:type="dxa" w:w="75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Istio or Linkerd, mTLS STRICT</w:t>
            </w:r>
          </w:p>
        </w:tc>
      </w:tr>
      <w:tr>
        <w:trPr>
          <w:cantSplit/>
          <w:tblHeader w:val="false"/>
        </w:trPr>
        <w:tc>
          <w:tcPr>
            <w:tcW w:type="dxa" w:w="20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GitOps</w:t>
            </w:r>
          </w:p>
        </w:tc>
        <w:tc>
          <w:tcPr>
            <w:tcW w:type="dxa" w:w="75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Argo CD (or Flux) per cluster, app-of-apps per environment</w:t>
            </w:r>
          </w:p>
        </w:tc>
      </w:tr>
      <w:tr>
        <w:trPr>
          <w:cantSplit/>
          <w:tblHeader w:val="false"/>
        </w:trPr>
        <w:tc>
          <w:tcPr>
            <w:tcW w:type="dxa" w:w="206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Ingress</w:t>
            </w:r>
          </w:p>
        </w:tc>
        <w:tc>
          <w:tcPr>
            <w:tcW w:type="dxa" w:w="757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Internal API gateway (2–8 replicas) for UI, callbacks and agent APIs; no public ingress except signed chat callbacks via WAF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3. Namespaces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7"/>
        <w:gridCol w:w="6751"/>
      </w:tblGrid>
      <w:tr>
        <w:trPr>
          <w:cantSplit/>
          <w:tblHeader/>
        </w:trPr>
        <w:tc>
          <w:tcPr>
            <w:tcW w:type="dxa" w:w="28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Namespace</w:t>
            </w:r>
          </w:p>
        </w:tc>
        <w:tc>
          <w:tcPr>
            <w:tcW w:type="dxa" w:w="67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Components</w:t>
            </w:r>
          </w:p>
        </w:tc>
      </w:tr>
      <w:tr>
        <w:trPr>
          <w:cantSplit/>
          <w:tblHeader w:val="false"/>
        </w:trPr>
        <w:tc>
          <w:tcPr>
            <w:tcW w:type="dxa" w:w="28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67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OTel agents (DaemonSet), gateways, pullers</w:t>
            </w:r>
          </w:p>
        </w:tc>
      </w:tr>
      <w:tr>
        <w:trPr>
          <w:cantSplit/>
          <w:tblHeader w:val="false"/>
        </w:trPr>
        <w:tc>
          <w:tcPr>
            <w:tcW w:type="dxa" w:w="28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streaming</w:t>
            </w:r>
          </w:p>
        </w:tc>
        <w:tc>
          <w:tcPr>
            <w:tcW w:type="dxa" w:w="67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Kafka (Strimzi operator), Schema Registry, Cruise Control, Flink operator and jobs</w:t>
            </w:r>
          </w:p>
        </w:tc>
      </w:tr>
      <w:tr>
        <w:trPr>
          <w:cantSplit/>
          <w:tblHeader w:val="false"/>
        </w:trPr>
        <w:tc>
          <w:tcPr>
            <w:tcW w:type="dxa" w:w="28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features</w:t>
            </w:r>
          </w:p>
        </w:tc>
        <w:tc>
          <w:tcPr>
            <w:tcW w:type="dxa" w:w="67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Redis Cluster, Feature Service</w:t>
            </w:r>
          </w:p>
        </w:tc>
      </w:tr>
      <w:tr>
        <w:trPr>
          <w:cantSplit/>
          <w:tblHeader w:val="false"/>
        </w:trPr>
        <w:tc>
          <w:tcPr>
            <w:tcW w:type="dxa" w:w="28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ml</w:t>
            </w:r>
          </w:p>
        </w:tc>
        <w:tc>
          <w:tcPr>
            <w:tcW w:type="dxa" w:w="67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Inference service, GNN scorer, Model Registry, training pipelines</w:t>
            </w:r>
          </w:p>
        </w:tc>
      </w:tr>
      <w:tr>
        <w:trPr>
          <w:cantSplit/>
          <w:tblHeader w:val="false"/>
        </w:trPr>
        <w:tc>
          <w:tcPr>
            <w:tcW w:type="dxa" w:w="28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decision</w:t>
            </w:r>
          </w:p>
        </w:tc>
        <w:tc>
          <w:tcPr>
            <w:tcW w:type="dxa" w:w="67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Decision Engine (Flink job or service), policy store</w:t>
            </w:r>
          </w:p>
        </w:tc>
      </w:tr>
      <w:tr>
        <w:trPr>
          <w:cantSplit/>
          <w:tblHeader w:val="false"/>
        </w:trPr>
        <w:tc>
          <w:tcPr>
            <w:tcW w:type="dxa" w:w="28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67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ITSM router, adapters, outbox DB, SLA tracker, feedback collector</w:t>
            </w:r>
          </w:p>
        </w:tc>
      </w:tr>
      <w:tr>
        <w:trPr>
          <w:cantSplit/>
          <w:tblHeader w:val="false"/>
        </w:trPr>
        <w:tc>
          <w:tcPr>
            <w:tcW w:type="dxa" w:w="28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genai</w:t>
            </w:r>
          </w:p>
        </w:tc>
        <w:tc>
          <w:tcPr>
            <w:tcW w:type="dxa" w:w="67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LLM gateway, RAG services, vector DB, re-ranker (TS-13)</w:t>
            </w:r>
          </w:p>
        </w:tc>
      </w:tr>
      <w:tr>
        <w:trPr>
          <w:cantSplit/>
          <w:tblHeader w:val="false"/>
        </w:trPr>
        <w:tc>
          <w:tcPr>
            <w:tcW w:type="dxa" w:w="28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agents</w:t>
            </w:r>
          </w:p>
        </w:tc>
        <w:tc>
          <w:tcPr>
            <w:tcW w:type="dxa" w:w="67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Orchestrator, specialist agents, tool execution layer, ISO store (TS-14/15)</w:t>
            </w:r>
          </w:p>
        </w:tc>
      </w:tr>
      <w:tr>
        <w:trPr>
          <w:cantSplit/>
          <w:tblHeader w:val="false"/>
        </w:trPr>
        <w:tc>
          <w:tcPr>
            <w:tcW w:type="dxa" w:w="28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storage</w:t>
            </w:r>
          </w:p>
        </w:tc>
        <w:tc>
          <w:tcPr>
            <w:tcW w:type="dxa" w:w="67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OpenSearch, VictoriaMetrics, PostgreSQL clusters</w:t>
            </w:r>
          </w:p>
        </w:tc>
      </w:tr>
      <w:tr>
        <w:trPr>
          <w:cantSplit/>
          <w:tblHeader w:val="false"/>
        </w:trPr>
        <w:tc>
          <w:tcPr>
            <w:tcW w:type="dxa" w:w="288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governance</w:t>
            </w:r>
          </w:p>
        </w:tc>
        <w:tc>
          <w:tcPr>
            <w:tcW w:type="dxa" w:w="675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Audit sink, policy engine (OPA Gatekeeper/Kyverno), dashboards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4. Non-Functional Requirements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7"/>
        <w:gridCol w:w="7091"/>
      </w:tblGrid>
      <w:tr>
        <w:trPr>
          <w:cantSplit/>
          <w:tblHeader/>
        </w:trPr>
        <w:tc>
          <w:tcPr>
            <w:tcW w:type="dxa" w:w="254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09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rPr>
          <w:cantSplit/>
          <w:tblHeader w:val="false"/>
        </w:trPr>
        <w:tc>
          <w:tcPr>
            <w:tcW w:type="dxa" w:w="254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TS09-NFR-001</w:t>
            </w:r>
          </w:p>
        </w:tc>
        <w:tc>
          <w:tcPr>
            <w:tcW w:type="dxa" w:w="709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Survive loss of any single AZ with no data loss and ≤ 10 min throughput recovery</w:t>
            </w:r>
          </w:p>
        </w:tc>
      </w:tr>
      <w:tr>
        <w:trPr>
          <w:cantSplit/>
          <w:tblHeader w:val="false"/>
        </w:trPr>
        <w:tc>
          <w:tcPr>
            <w:tcW w:type="dxa" w:w="254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TS09-NFR-002</w:t>
            </w:r>
          </w:p>
        </w:tc>
        <w:tc>
          <w:tcPr>
            <w:tcW w:type="dxa" w:w="709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Regional DR: RPO &lt; 5 min, RTO &lt; 15 min for core detection pipeline</w:t>
            </w:r>
          </w:p>
        </w:tc>
      </w:tr>
      <w:tr>
        <w:trPr>
          <w:cantSplit/>
          <w:tblHeader w:val="false"/>
        </w:trPr>
        <w:tc>
          <w:tcPr>
            <w:tcW w:type="dxa" w:w="254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TS09-NFR-003</w:t>
            </w:r>
          </w:p>
        </w:tc>
        <w:tc>
          <w:tcPr>
            <w:tcW w:type="dxa" w:w="709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All stateful components replicated across 3 AZs</w:t>
            </w:r>
          </w:p>
        </w:tc>
      </w:tr>
      <w:tr>
        <w:trPr>
          <w:cantSplit/>
          <w:tblHeader w:val="false"/>
        </w:trPr>
        <w:tc>
          <w:tcPr>
            <w:tcW w:type="dxa" w:w="254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TS09-NFR-004</w:t>
            </w:r>
          </w:p>
        </w:tc>
        <w:tc>
          <w:tcPr>
            <w:tcW w:type="dxa" w:w="709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No privileged containers outside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system</w:t>
            </w:r>
            <w:r>
              <w:rPr>
                <w:sz w:val="18"/>
                <w:szCs w:val="18"/>
              </w:rPr>
              <w:t xml:space="preserve"> and OTel host agents (scoped exceptions documented)</w:t>
            </w:r>
          </w:p>
        </w:tc>
      </w:tr>
    </w:tbl>
    <w:p>
      <w:pPr>
        <w:spacing w:after="80"/>
      </w:pPr>
    </w:p>
    <w:p>
      <w:pPr>
        <w:pStyle w:val="Heading1"/>
        <w:pBdr>
          <w:left w:val="single" w:color="1F3A5F" w:sz="24" w:space="6"/>
        </w:pBdr>
        <w:shd w:fill="EAF1F8" w:color="auto" w:val="clear"/>
        <w:spacing w:after="200" w:before="480"/>
      </w:pPr>
      <w:r>
        <w:t xml:space="preserve">PART B — LOW-LEVEL SPECIFICATION</w:t>
      </w:r>
    </w:p>
    <w:p>
      <w:pPr>
        <w:pStyle w:val="Heading1"/>
      </w:pPr>
      <w:r>
        <w:t xml:space="preserve">5. Reference Component Specification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3"/>
        <w:gridCol w:w="1916"/>
        <w:gridCol w:w="1818"/>
        <w:gridCol w:w="1793"/>
        <w:gridCol w:w="2268"/>
      </w:tblGrid>
      <w:tr>
        <w:trPr>
          <w:cantSplit/>
          <w:tblHeader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Pattern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Replicas (min/max)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Per-instance resources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Storage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OTel agent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DaemonSet + systemd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 per node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 vCPU / 512 MiB (limit)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hostPath queue 2 GiB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OTel gateway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6 / 24 (2 per AZ min)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4 vCPU / 8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PVC 100 GiB queue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Kafka broker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StatefulSet (Strimzi)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6 (3–12)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16 vCPU / 64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NVMe 4 TiB local + tiered object storage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Schema Registry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 vCPU / 2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Flink JobManager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 (HA via K8s leader election)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4 vCPU / 8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Flink TaskManager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 (reactive mode)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4 / 32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8 vCPU / 32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RocksDB local SSD 200 GiB; checkpoints to object storage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Redis Cluster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StatefulSet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6 / 18 primaries + replicas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8 vCPU / 32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PVC 64 GiB (AOF on replicas)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Feature Service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3 / 12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2 vCPU / 4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ML Inference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3 / 20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8 vCPU / 16 GiB (+ optional 1 GPU)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GNN scorer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2 / 6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8 vCPU / 32 GiB (+ GPU recommended)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Training pipeline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Kubernetes Jobs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On schedule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16 vCPU / 64 GiB per job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Ephemeral 500 GiB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Model Registry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 + PostgreSQL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2 vCPU / 4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Object storage artefacts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Decision Engine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 / Flink job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3 / 12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4 vCPU / 8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Checkpointed state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ITSM integration workers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2 / 10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2 vCPU / 4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PostgreSQL outbox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Time-series store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VictoriaMetrics cluster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vminsert 3, vmselect 3, vmstorage 3+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vmstorage 16 vCPU / 128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SSD 4 TiB each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Log store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OpenSearch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3 masters, 6+ hot, 3+ warm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Hot 16 vCPU / 64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Hot SSD 2 TiB; warm HDD 8 TiB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PostgreSQL (outbox, registry, policy)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Operator-managed (CloudNativePG/Patroni)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3 (1 primary, 2 sync/async replicas)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4 vCPU / 16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SSD 500 GiB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API gateway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Deployment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2 / 8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2 vCPU / 4 GiB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4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GenAI / agents</w:t>
            </w:r>
          </w:p>
        </w:tc>
        <w:tc>
          <w:tcPr>
            <w:tcW w:type="dxa" w:w="191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See TS-13, TS-14</w:t>
            </w:r>
          </w:p>
        </w:tc>
        <w:tc>
          <w:tcPr>
            <w:tcW w:type="dxa" w:w="18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7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6. Placement and Availability Controls</w:t>
      </w:r>
    </w:p>
    <w:p>
      <w:pPr>
        <w:pBdr>
          <w:top w:val="single" w:color="F3F4F6" w:sz="2" w:space="2"/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# applied to every stateless Deployment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topologySpreadConstraints: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- maxSkew: 1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  topologyKey: topology.kubernetes.io/zone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    whenUnsatisfiable: DoNotSchedule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podAntiAffinity: preferredDuringScheduling on kubernetes.io/hostname</w:t>
      </w:r>
    </w:p>
    <w:p>
      <w:pPr>
        <w:pBdr>
          <w:left w:val="single" w:color="2E75B6" w:sz="12" w:space="6"/>
        </w:pBdr>
        <w:shd w:fill="F3F4F6" w:color="auto" w:val="clear"/>
        <w:spacing w:after="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PodDisruptionBudget: minAvailable = max(2, ceil(0.66 * replicas))</w:t>
      </w:r>
    </w:p>
    <w:p>
      <w:pPr>
        <w:pBdr>
          <w:left w:val="single" w:color="2E75B6" w:sz="12" w:space="6"/>
        </w:pBdr>
        <w:shd w:fill="F3F4F6" w:color="auto" w:val="clear"/>
        <w:spacing w:after="160" w:before="0" w:line="240"/>
        <w:ind w:left="120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priorityClassName: pdd-critical | pdd-standard | pdd-batch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9"/>
        <w:gridCol w:w="3861"/>
        <w:gridCol w:w="3568"/>
      </w:tblGrid>
      <w:tr>
        <w:trPr>
          <w:cantSplit/>
          <w:tblHeader/>
        </w:trPr>
        <w:tc>
          <w:tcPr>
            <w:tcW w:type="dxa" w:w="220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Stateful component</w:t>
            </w:r>
          </w:p>
        </w:tc>
        <w:tc>
          <w:tcPr>
            <w:tcW w:type="dxa" w:w="38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Replication</w:t>
            </w:r>
          </w:p>
        </w:tc>
        <w:tc>
          <w:tcPr>
            <w:tcW w:type="dxa" w:w="35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AZ guarantee</w:t>
            </w:r>
          </w:p>
        </w:tc>
      </w:tr>
      <w:tr>
        <w:trPr>
          <w:cantSplit/>
          <w:tblHeader w:val="false"/>
        </w:trPr>
        <w:tc>
          <w:tcPr>
            <w:tcW w:type="dxa" w:w="220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Kafka</w:t>
            </w:r>
          </w:p>
        </w:tc>
        <w:tc>
          <w:tcPr>
            <w:tcW w:type="dxa" w:w="38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RF 3,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min.insync.replicas</w:t>
            </w:r>
            <w:r>
              <w:rPr>
                <w:sz w:val="18"/>
                <w:szCs w:val="18"/>
              </w:rPr>
              <w:t xml:space="preserve"> 2, rack-aware</w:t>
            </w:r>
          </w:p>
        </w:tc>
        <w:tc>
          <w:tcPr>
            <w:tcW w:type="dxa" w:w="35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One replica per AZ</w:t>
            </w:r>
          </w:p>
        </w:tc>
      </w:tr>
      <w:tr>
        <w:trPr>
          <w:cantSplit/>
          <w:tblHeader w:val="false"/>
        </w:trPr>
        <w:tc>
          <w:tcPr>
            <w:tcW w:type="dxa" w:w="220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Redis</w:t>
            </w:r>
          </w:p>
        </w:tc>
        <w:tc>
          <w:tcPr>
            <w:tcW w:type="dxa" w:w="38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Replica per primary in different AZ</w:t>
            </w:r>
          </w:p>
        </w:tc>
        <w:tc>
          <w:tcPr>
            <w:tcW w:type="dxa" w:w="35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Cluster survives AZ loss with replica promotion</w:t>
            </w:r>
          </w:p>
        </w:tc>
      </w:tr>
      <w:tr>
        <w:trPr>
          <w:cantSplit/>
          <w:tblHeader w:val="false"/>
        </w:trPr>
        <w:tc>
          <w:tcPr>
            <w:tcW w:type="dxa" w:w="220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OpenSearch</w:t>
            </w:r>
          </w:p>
        </w:tc>
        <w:tc>
          <w:tcPr>
            <w:tcW w:type="dxa" w:w="38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 replica per shard, shard allocation awareness by zone</w:t>
            </w:r>
          </w:p>
        </w:tc>
        <w:tc>
          <w:tcPr>
            <w:tcW w:type="dxa" w:w="35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Forced awareness</w:t>
            </w:r>
          </w:p>
        </w:tc>
      </w:tr>
      <w:tr>
        <w:trPr>
          <w:cantSplit/>
          <w:tblHeader w:val="false"/>
        </w:trPr>
        <w:tc>
          <w:tcPr>
            <w:tcW w:type="dxa" w:w="220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VictoriaMetrics</w:t>
            </w:r>
          </w:p>
        </w:tc>
        <w:tc>
          <w:tcPr>
            <w:tcW w:type="dxa" w:w="38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-replicationFactor=2</w:t>
            </w:r>
            <w:r>
              <w:rPr>
                <w:sz w:val="18"/>
                <w:szCs w:val="18"/>
              </w:rPr>
              <w:t xml:space="preserve"> on vminsert across zones</w:t>
            </w:r>
          </w:p>
        </w:tc>
        <w:tc>
          <w:tcPr>
            <w:tcW w:type="dxa" w:w="35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220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PostgreSQL</w:t>
            </w:r>
          </w:p>
        </w:tc>
        <w:tc>
          <w:tcPr>
            <w:tcW w:type="dxa" w:w="38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Synchronous replica in second AZ</w:t>
            </w:r>
          </w:p>
        </w:tc>
        <w:tc>
          <w:tcPr>
            <w:tcW w:type="dxa" w:w="35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  <w:tr>
        <w:trPr>
          <w:cantSplit/>
          <w:tblHeader w:val="false"/>
        </w:trPr>
        <w:tc>
          <w:tcPr>
            <w:tcW w:type="dxa" w:w="220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Flink</w:t>
            </w:r>
          </w:p>
        </w:tc>
        <w:tc>
          <w:tcPr>
            <w:tcW w:type="dxa" w:w="386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Checkpoints in regional object storage; JobManager HA</w:t>
            </w:r>
          </w:p>
        </w:tc>
        <w:tc>
          <w:tcPr>
            <w:tcW w:type="dxa" w:w="356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Restart in surviving AZs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Priority classes: </w:t>
      </w:r>
      <w:r>
        <w:rPr>
          <w:rFonts w:ascii="Consolas" w:cs="Consolas" w:eastAsia="Consolas" w:hAnsi="Consolas"/>
          <w:color w:val="9B2C2C"/>
          <w:sz w:val="18"/>
          <w:szCs w:val="18"/>
        </w:rPr>
        <w:t xml:space="preserve">pdd-critical</w:t>
      </w:r>
      <w:r>
        <w:t xml:space="preserve"> (collectors, Kafka, Flink, inference, decision, integration), </w:t>
      </w:r>
      <w:r>
        <w:rPr>
          <w:rFonts w:ascii="Consolas" w:cs="Consolas" w:eastAsia="Consolas" w:hAnsi="Consolas"/>
          <w:color w:val="9B2C2C"/>
          <w:sz w:val="18"/>
          <w:szCs w:val="18"/>
        </w:rPr>
        <w:t xml:space="preserve">pdd-standard</w:t>
      </w:r>
      <w:r>
        <w:t xml:space="preserve"> (GenAI, agents, UI), </w:t>
      </w:r>
      <w:r>
        <w:rPr>
          <w:rFonts w:ascii="Consolas" w:cs="Consolas" w:eastAsia="Consolas" w:hAnsi="Consolas"/>
          <w:color w:val="9B2C2C"/>
          <w:sz w:val="18"/>
          <w:szCs w:val="18"/>
        </w:rPr>
        <w:t xml:space="preserve">pdd-batch</w:t>
      </w:r>
      <w:r>
        <w:t xml:space="preserve"> (training; pre-emptible).</w:t>
      </w:r>
    </w:p>
    <w:p>
      <w:pPr>
        <w:pStyle w:val="Heading1"/>
      </w:pPr>
      <w:r>
        <w:t xml:space="preserve">7. Multi-Region and Disaster Recovery</w:t>
      </w:r>
    </w:p>
    <w:p>
      <w:pPr>
        <w:pStyle w:val="Heading2"/>
      </w:pPr>
      <w:r>
        <w:t xml:space="preserve">7.1 Modes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8"/>
        <w:gridCol w:w="5731"/>
        <w:gridCol w:w="2209"/>
      </w:tblGrid>
      <w:tr>
        <w:trPr>
          <w:cantSplit/>
          <w:tblHeader/>
        </w:trPr>
        <w:tc>
          <w:tcPr>
            <w:tcW w:type="dxa" w:w="169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573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20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Use</w:t>
            </w:r>
          </w:p>
        </w:tc>
      </w:tr>
      <w:tr>
        <w:trPr>
          <w:cantSplit/>
          <w:tblHeader w:val="false"/>
        </w:trPr>
        <w:tc>
          <w:tcPr>
            <w:tcW w:type="dxa" w:w="169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Active-active</w:t>
            </w:r>
          </w:p>
        </w:tc>
        <w:tc>
          <w:tcPr>
            <w:tcW w:type="dxa" w:w="573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Each region runs a full independent stack on its own telemetry; global correlator consumes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ml.detections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decision.incidents</w:t>
            </w:r>
            <w:r>
              <w:rPr>
                <w:sz w:val="18"/>
                <w:szCs w:val="18"/>
              </w:rPr>
              <w:t xml:space="preserve"> from all regions</w:t>
            </w:r>
          </w:p>
        </w:tc>
        <w:tc>
          <w:tcPr>
            <w:tcW w:type="dxa" w:w="220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Multi-region estates</w:t>
            </w:r>
          </w:p>
        </w:tc>
      </w:tr>
      <w:tr>
        <w:trPr>
          <w:cantSplit/>
          <w:tblHeader w:val="false"/>
        </w:trPr>
        <w:tc>
          <w:tcPr>
            <w:tcW w:type="dxa" w:w="169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Warm standby</w:t>
            </w:r>
          </w:p>
        </w:tc>
        <w:tc>
          <w:tcPr>
            <w:tcW w:type="dxa" w:w="573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Secondary region has stack at minimum replicas; Kafka MirrorMaker 2 replicates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raw.*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ref.*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feedback.labels</w:t>
            </w:r>
            <w:r>
              <w:rPr>
                <w:sz w:val="18"/>
                <w:szCs w:val="18"/>
              </w:rPr>
              <w:t xml:space="preserve">; models and baselines synced</w:t>
            </w:r>
          </w:p>
        </w:tc>
        <w:tc>
          <w:tcPr>
            <w:tcW w:type="dxa" w:w="220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Single-primary estates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7.2 Replication matrix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2"/>
        <w:gridCol w:w="4593"/>
        <w:gridCol w:w="2023"/>
      </w:tblGrid>
      <w:tr>
        <w:trPr>
          <w:cantSplit/>
          <w:tblHeader/>
        </w:trPr>
        <w:tc>
          <w:tcPr>
            <w:tcW w:type="dxa" w:w="302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45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Mechanism</w:t>
            </w:r>
          </w:p>
        </w:tc>
        <w:tc>
          <w:tcPr>
            <w:tcW w:type="dxa" w:w="20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Lag target</w:t>
            </w:r>
          </w:p>
        </w:tc>
      </w:tr>
      <w:tr>
        <w:trPr>
          <w:cantSplit/>
          <w:tblHeader w:val="false"/>
        </w:trPr>
        <w:tc>
          <w:tcPr>
            <w:tcW w:type="dxa" w:w="302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raw.*</w:t>
            </w:r>
            <w:r>
              <w:rPr>
                <w:sz w:val="18"/>
                <w:szCs w:val="18"/>
              </w:rPr>
              <w:t xml:space="preserve"> (for DR replay)</w:t>
            </w:r>
          </w:p>
        </w:tc>
        <w:tc>
          <w:tcPr>
            <w:tcW w:type="dxa" w:w="45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MirrorMaker 2, offset sync enabled</w:t>
            </w:r>
          </w:p>
        </w:tc>
        <w:tc>
          <w:tcPr>
            <w:tcW w:type="dxa" w:w="20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&lt; 5 min (RPO)</w:t>
            </w:r>
          </w:p>
        </w:tc>
      </w:tr>
      <w:tr>
        <w:trPr>
          <w:cantSplit/>
          <w:tblHeader w:val="false"/>
        </w:trPr>
        <w:tc>
          <w:tcPr>
            <w:tcW w:type="dxa" w:w="302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ref.*</w:t>
            </w:r>
            <w:r>
              <w:rPr>
                <w:sz w:val="18"/>
                <w:szCs w:val="18"/>
              </w:rPr>
              <w:t xml:space="preserve"> (CMDB, baselines, TI)</w:t>
            </w:r>
          </w:p>
        </w:tc>
        <w:tc>
          <w:tcPr>
            <w:tcW w:type="dxa" w:w="45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MirrorMaker 2</w:t>
            </w:r>
          </w:p>
        </w:tc>
        <w:tc>
          <w:tcPr>
            <w:tcW w:type="dxa" w:w="20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&lt; 5 min</w:t>
            </w:r>
          </w:p>
        </w:tc>
      </w:tr>
      <w:tr>
        <w:trPr>
          <w:cantSplit/>
          <w:tblHeader w:val="false"/>
        </w:trPr>
        <w:tc>
          <w:tcPr>
            <w:tcW w:type="dxa" w:w="302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Model artefacts, registry DB</w:t>
            </w:r>
          </w:p>
        </w:tc>
        <w:tc>
          <w:tcPr>
            <w:tcW w:type="dxa" w:w="45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Object storage cross-region replication; PostgreSQL async replica</w:t>
            </w:r>
          </w:p>
        </w:tc>
        <w:tc>
          <w:tcPr>
            <w:tcW w:type="dxa" w:w="20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&lt; 15 min</w:t>
            </w:r>
          </w:p>
        </w:tc>
      </w:tr>
      <w:tr>
        <w:trPr>
          <w:cantSplit/>
          <w:tblHeader w:val="false"/>
        </w:trPr>
        <w:tc>
          <w:tcPr>
            <w:tcW w:type="dxa" w:w="302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Outbox / ISO state</w:t>
            </w:r>
          </w:p>
        </w:tc>
        <w:tc>
          <w:tcPr>
            <w:tcW w:type="dxa" w:w="45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PostgreSQL async replica; ISO rebuilt from audit + ITSM on failover</w:t>
            </w:r>
          </w:p>
        </w:tc>
        <w:tc>
          <w:tcPr>
            <w:tcW w:type="dxa" w:w="20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&lt; 5 min</w:t>
            </w:r>
          </w:p>
        </w:tc>
      </w:tr>
      <w:tr>
        <w:trPr>
          <w:cantSplit/>
          <w:tblHeader w:val="false"/>
        </w:trPr>
        <w:tc>
          <w:tcPr>
            <w:tcW w:type="dxa" w:w="302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OpenSearch logs</w:t>
            </w:r>
          </w:p>
        </w:tc>
        <w:tc>
          <w:tcPr>
            <w:tcW w:type="dxa" w:w="459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Cross-cluster replication for last 7 days (optional)</w:t>
            </w:r>
          </w:p>
        </w:tc>
        <w:tc>
          <w:tcPr>
            <w:tcW w:type="dxa" w:w="20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Best effort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7.3 Failover runbook (warm standby)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5834"/>
        <w:gridCol w:w="2381"/>
      </w:tblGrid>
      <w:tr>
        <w:trPr>
          <w:cantSplit/>
          <w:tblHeader/>
        </w:trPr>
        <w:tc>
          <w:tcPr>
            <w:tcW w:type="dxa" w:w="14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583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23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Budget</w:t>
            </w:r>
          </w:p>
        </w:tc>
      </w:tr>
      <w:tr>
        <w:trPr>
          <w:cantSplit/>
          <w:tblHeader w:val="false"/>
        </w:trPr>
        <w:tc>
          <w:tcPr>
            <w:tcW w:type="dxa" w:w="14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83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Declare DR (human approval — Tier 4 per TS-16)</w:t>
            </w:r>
          </w:p>
        </w:tc>
        <w:tc>
          <w:tcPr>
            <w:tcW w:type="dxa" w:w="23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4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583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DNS / global LB failover for UI, callbacks, collectors' gateway endpoints</w:t>
            </w:r>
          </w:p>
        </w:tc>
        <w:tc>
          <w:tcPr>
            <w:tcW w:type="dxa" w:w="23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&lt; 60 s</w:t>
            </w:r>
          </w:p>
        </w:tc>
      </w:tr>
      <w:tr>
        <w:trPr>
          <w:cantSplit/>
          <w:tblHeader w:val="false"/>
        </w:trPr>
        <w:tc>
          <w:tcPr>
            <w:tcW w:type="dxa" w:w="14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83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Scale secondary to production minimums (HPA min override)</w:t>
            </w:r>
          </w:p>
        </w:tc>
        <w:tc>
          <w:tcPr>
            <w:tcW w:type="dxa" w:w="23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~5 min</w:t>
            </w:r>
          </w:p>
        </w:tc>
      </w:tr>
      <w:tr>
        <w:trPr>
          <w:cantSplit/>
          <w:tblHeader w:val="false"/>
        </w:trPr>
        <w:tc>
          <w:tcPr>
            <w:tcW w:type="dxa" w:w="14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583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Flink jobs start from mirrored offsets; consumer catch-up</w:t>
            </w:r>
          </w:p>
        </w:tc>
        <w:tc>
          <w:tcPr>
            <w:tcW w:type="dxa" w:w="23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&lt; 5 min</w:t>
            </w:r>
          </w:p>
        </w:tc>
      </w:tr>
      <w:tr>
        <w:trPr>
          <w:cantSplit/>
          <w:tblHeader w:val="false"/>
        </w:trPr>
        <w:tc>
          <w:tcPr>
            <w:tcW w:type="dxa" w:w="14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583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Inference ready, models loaded; decision engine rebuilds candidates from last 30 min</w:t>
            </w:r>
          </w:p>
        </w:tc>
        <w:tc>
          <w:tcPr>
            <w:tcW w:type="dxa" w:w="23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&lt; 5 min</w:t>
            </w:r>
          </w:p>
        </w:tc>
      </w:tr>
      <w:tr>
        <w:trPr>
          <w:cantSplit/>
          <w:tblHeader w:val="false"/>
        </w:trPr>
        <w:tc>
          <w:tcPr>
            <w:tcW w:type="dxa" w:w="14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583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Verify synthetic canary incident end-to-end</w:t>
            </w:r>
          </w:p>
        </w:tc>
        <w:tc>
          <w:tcPr>
            <w:tcW w:type="dxa" w:w="23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&lt; 2 min</w:t>
            </w:r>
          </w:p>
        </w:tc>
      </w:tr>
      <w:tr>
        <w:trPr>
          <w:cantSplit/>
          <w:tblHeader w:val="false"/>
        </w:trPr>
        <w:tc>
          <w:tcPr>
            <w:tcW w:type="dxa" w:w="142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Total</w:t>
            </w:r>
          </w:p>
        </w:tc>
        <w:tc>
          <w:tcPr>
            <w:tcW w:type="dxa" w:w="583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</w:p>
        </w:tc>
        <w:tc>
          <w:tcPr>
            <w:tcW w:type="dxa" w:w="2381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&lt; 15 min (RTO)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DR is exercised quarterly; results recorded against TS09-NFR-002.</w:t>
      </w:r>
    </w:p>
    <w:p>
      <w:pPr>
        <w:pStyle w:val="Heading1"/>
      </w:pPr>
      <w:r>
        <w:t xml:space="preserve">8. Network Segmentation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5"/>
        <w:gridCol w:w="3849"/>
        <w:gridCol w:w="3194"/>
      </w:tblGrid>
      <w:tr>
        <w:trPr>
          <w:cantSplit/>
          <w:tblHeader/>
        </w:trPr>
        <w:tc>
          <w:tcPr>
            <w:tcW w:type="dxa" w:w="25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Flow</w:t>
            </w:r>
          </w:p>
        </w:tc>
        <w:tc>
          <w:tcPr>
            <w:tcW w:type="dxa" w:w="384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Allowed</w:t>
            </w:r>
          </w:p>
        </w:tc>
        <w:tc>
          <w:tcPr>
            <w:tcW w:type="dxa" w:w="319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</w:tr>
      <w:tr>
        <w:trPr>
          <w:cantSplit/>
          <w:tblHeader w:val="false"/>
        </w:trPr>
        <w:tc>
          <w:tcPr>
            <w:tcW w:type="dxa" w:w="25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Sources → OTel gateway</w:t>
            </w:r>
          </w:p>
        </w:tc>
        <w:tc>
          <w:tcPr>
            <w:tcW w:type="dxa" w:w="384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Defined ports (4317/4318, 6514 syslog-TLS, 2055/4739 flow) from source VLANs</w:t>
            </w:r>
          </w:p>
        </w:tc>
        <w:tc>
          <w:tcPr>
            <w:tcW w:type="dxa" w:w="319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Firewall + NetworkPolicy</w:t>
            </w:r>
          </w:p>
        </w:tc>
      </w:tr>
      <w:tr>
        <w:trPr>
          <w:cantSplit/>
          <w:tblHeader w:val="false"/>
        </w:trPr>
        <w:tc>
          <w:tcPr>
            <w:tcW w:type="dxa" w:w="25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Namespace → namespace</w:t>
            </w:r>
          </w:p>
        </w:tc>
        <w:tc>
          <w:tcPr>
            <w:tcW w:type="dxa" w:w="384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Only declared dependencies (e.g.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ml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features</w:t>
            </w:r>
            <w:r>
              <w:rPr>
                <w:sz w:val="18"/>
                <w:szCs w:val="18"/>
              </w:rPr>
              <w:t xml:space="preserve"> gRPC)</w:t>
            </w:r>
          </w:p>
        </w:tc>
        <w:tc>
          <w:tcPr>
            <w:tcW w:type="dxa" w:w="319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Default-deny NetworkPolicy + mesh AuthorizationPolicy</w:t>
            </w:r>
          </w:p>
        </w:tc>
      </w:tr>
      <w:tr>
        <w:trPr>
          <w:cantSplit/>
          <w:tblHeader w:val="false"/>
        </w:trPr>
        <w:tc>
          <w:tcPr>
            <w:tcW w:type="dxa" w:w="25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Agents → target infrastructure APIs</w:t>
            </w:r>
          </w:p>
        </w:tc>
        <w:tc>
          <w:tcPr>
            <w:tcW w:type="dxa" w:w="384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Only via tool execution layer egress gateway; per-tool destination allow-list</w:t>
            </w:r>
          </w:p>
        </w:tc>
        <w:tc>
          <w:tcPr>
            <w:tcW w:type="dxa" w:w="319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Egress gateway + mesh</w:t>
            </w:r>
          </w:p>
        </w:tc>
      </w:tr>
      <w:tr>
        <w:trPr>
          <w:cantSplit/>
          <w:tblHeader w:val="false"/>
        </w:trPr>
        <w:tc>
          <w:tcPr>
            <w:tcW w:type="dxa" w:w="25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GenAI → LLM provider</w:t>
            </w:r>
          </w:p>
        </w:tc>
        <w:tc>
          <w:tcPr>
            <w:tcW w:type="dxa" w:w="384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Via LLM gateway egress only; private endpoint / VPC peering</w:t>
            </w:r>
          </w:p>
        </w:tc>
        <w:tc>
          <w:tcPr>
            <w:tcW w:type="dxa" w:w="319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Egress allow-list</w:t>
            </w:r>
          </w:p>
        </w:tc>
      </w:tr>
      <w:tr>
        <w:trPr>
          <w:cantSplit/>
          <w:tblHeader w:val="false"/>
        </w:trPr>
        <w:tc>
          <w:tcPr>
            <w:tcW w:type="dxa" w:w="259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Chat callbacks inbound</w:t>
            </w:r>
          </w:p>
        </w:tc>
        <w:tc>
          <w:tcPr>
            <w:tcW w:type="dxa" w:w="384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WAF → API gateway → integration namespace</w:t>
            </w:r>
          </w:p>
        </w:tc>
        <w:tc>
          <w:tcPr>
            <w:tcW w:type="dxa" w:w="319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Signature verification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9. Security Controls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6"/>
        <w:gridCol w:w="7372"/>
      </w:tblGrid>
      <w:tr>
        <w:trPr>
          <w:cantSplit/>
          <w:tblHeader/>
        </w:trPr>
        <w:tc>
          <w:tcPr>
            <w:tcW w:type="dxa" w:w="22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3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</w:tr>
      <w:tr>
        <w:trPr>
          <w:cantSplit/>
          <w:tblHeader w:val="false"/>
        </w:trPr>
        <w:tc>
          <w:tcPr>
            <w:tcW w:type="dxa" w:w="22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TS09-SEC-001</w:t>
            </w:r>
          </w:p>
        </w:tc>
        <w:tc>
          <w:tcPr>
            <w:tcW w:type="dxa" w:w="73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mTLS between all services via mesh; certificates from cert-manager with internal CA; rotation ≤ 24 h for workload certs</w:t>
            </w:r>
          </w:p>
        </w:tc>
      </w:tr>
      <w:tr>
        <w:trPr>
          <w:cantSplit/>
          <w:tblHeader w:val="false"/>
        </w:trPr>
        <w:tc>
          <w:tcPr>
            <w:tcW w:type="dxa" w:w="22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TS09-SEC-002</w:t>
            </w:r>
          </w:p>
        </w:tc>
        <w:tc>
          <w:tcPr>
            <w:tcW w:type="dxa" w:w="73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Encryption at rest AES-256 for all PVs, object storage and backups; keys in KMS/HSM; customer-managed keys where available</w:t>
            </w:r>
          </w:p>
        </w:tc>
      </w:tr>
      <w:tr>
        <w:trPr>
          <w:cantSplit/>
          <w:tblHeader w:val="false"/>
        </w:trPr>
        <w:tc>
          <w:tcPr>
            <w:tcW w:type="dxa" w:w="22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TS09-SEC-003</w:t>
            </w:r>
          </w:p>
        </w:tc>
        <w:tc>
          <w:tcPr>
            <w:tcW w:type="dxa" w:w="73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Human access via OIDC/SAML SSO + MFA; Kubernetes RBAC mapped to roles in TS-01 SEC-002; break-glass accounts sealed and audited</w:t>
            </w:r>
          </w:p>
        </w:tc>
      </w:tr>
      <w:tr>
        <w:trPr>
          <w:cantSplit/>
          <w:tblHeader w:val="false"/>
        </w:trPr>
        <w:tc>
          <w:tcPr>
            <w:tcW w:type="dxa" w:w="22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TS09-SEC-004</w:t>
            </w:r>
          </w:p>
        </w:tc>
        <w:tc>
          <w:tcPr>
            <w:tcW w:type="dxa" w:w="73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Workload identity (IRSA / Workload Identity / SPIFFE) — no static cloud credentials in pods</w:t>
            </w:r>
          </w:p>
        </w:tc>
      </w:tr>
      <w:tr>
        <w:trPr>
          <w:cantSplit/>
          <w:tblHeader w:val="false"/>
        </w:trPr>
        <w:tc>
          <w:tcPr>
            <w:tcW w:type="dxa" w:w="22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TS09-SEC-005</w:t>
            </w:r>
          </w:p>
        </w:tc>
        <w:tc>
          <w:tcPr>
            <w:tcW w:type="dxa" w:w="73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Pod Security Standards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restricted</w:t>
            </w:r>
            <w:r>
              <w:rPr>
                <w:sz w:val="18"/>
                <w:szCs w:val="18"/>
              </w:rPr>
              <w:t xml:space="preserve"> on all namespaces except documented exceptions (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observability</w:t>
            </w:r>
            <w:r>
              <w:rPr>
                <w:sz w:val="18"/>
                <w:szCs w:val="18"/>
              </w:rPr>
              <w:t xml:space="preserve"> host agents)</w:t>
            </w:r>
          </w:p>
        </w:tc>
      </w:tr>
      <w:tr>
        <w:trPr>
          <w:cantSplit/>
          <w:tblHeader w:val="false"/>
        </w:trPr>
        <w:tc>
          <w:tcPr>
            <w:tcW w:type="dxa" w:w="22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TS09-SEC-006</w:t>
            </w:r>
          </w:p>
        </w:tc>
        <w:tc>
          <w:tcPr>
            <w:tcW w:type="dxa" w:w="73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Admission control: signed images only (cosign), SBOM attached, no </w:t>
            </w:r>
            <w:r>
              <w:rPr>
                <w:rFonts w:ascii="Consolas" w:cs="Consolas" w:eastAsia="Consolas" w:hAnsi="Consolas"/>
                <w:color w:val="9B2C2C"/>
                <w:sz w:val="18"/>
                <w:szCs w:val="18"/>
              </w:rPr>
              <w:t xml:space="preserve">latest</w:t>
            </w:r>
            <w:r>
              <w:rPr>
                <w:sz w:val="18"/>
                <w:szCs w:val="18"/>
              </w:rPr>
              <w:t xml:space="preserve"> tags, resource limits mandatory</w:t>
            </w:r>
          </w:p>
        </w:tc>
      </w:tr>
      <w:tr>
        <w:trPr>
          <w:cantSplit/>
          <w:tblHeader w:val="false"/>
        </w:trPr>
        <w:tc>
          <w:tcPr>
            <w:tcW w:type="dxa" w:w="22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TS09-SEC-007</w:t>
            </w:r>
          </w:p>
        </w:tc>
        <w:tc>
          <w:tcPr>
            <w:tcW w:type="dxa" w:w="73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Container images scanned in CI and nightly; critical CVEs block deployment; high CVEs fixed ≤ 30 days</w:t>
            </w:r>
          </w:p>
        </w:tc>
      </w:tr>
      <w:tr>
        <w:trPr>
          <w:cantSplit/>
          <w:tblHeader w:val="false"/>
        </w:trPr>
        <w:tc>
          <w:tcPr>
            <w:tcW w:type="dxa" w:w="22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TS09-SEC-008</w:t>
            </w:r>
          </w:p>
        </w:tc>
        <w:tc>
          <w:tcPr>
            <w:tcW w:type="dxa" w:w="73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Privileged operations (kubectl exec, secret reads, Argo sync overrides) logged to immutable audit trail and SIEM</w:t>
            </w:r>
          </w:p>
        </w:tc>
      </w:tr>
      <w:tr>
        <w:trPr>
          <w:cantSplit/>
          <w:tblHeader w:val="false"/>
        </w:trPr>
        <w:tc>
          <w:tcPr>
            <w:tcW w:type="dxa" w:w="226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TS09-SEC-009</w:t>
            </w:r>
          </w:p>
        </w:tc>
        <w:tc>
          <w:tcPr>
            <w:tcW w:type="dxa" w:w="7372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Backups: daily snapshots of PostgreSQL, registry, OpenSearch indices (critical), retained 35 days, restore tested monthly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10. Failure Modes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3"/>
        <w:gridCol w:w="6405"/>
      </w:tblGrid>
      <w:tr>
        <w:trPr>
          <w:cantSplit/>
          <w:tblHeader/>
        </w:trPr>
        <w:tc>
          <w:tcPr>
            <w:tcW w:type="dxa" w:w="323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Failure</w:t>
            </w:r>
          </w:p>
        </w:tc>
        <w:tc>
          <w:tcPr>
            <w:tcW w:type="dxa" w:w="640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Handling</w:t>
            </w:r>
          </w:p>
        </w:tc>
      </w:tr>
      <w:tr>
        <w:trPr>
          <w:cantSplit/>
          <w:tblHeader w:val="false"/>
        </w:trPr>
        <w:tc>
          <w:tcPr>
            <w:tcW w:type="dxa" w:w="323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Single node loss</w:t>
            </w:r>
          </w:p>
        </w:tc>
        <w:tc>
          <w:tcPr>
            <w:tcW w:type="dxa" w:w="640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Rescheduled; PDBs keep quorum; DaemonSet gap logged</w:t>
            </w:r>
          </w:p>
        </w:tc>
      </w:tr>
      <w:tr>
        <w:trPr>
          <w:cantSplit/>
          <w:tblHeader w:val="false"/>
        </w:trPr>
        <w:tc>
          <w:tcPr>
            <w:tcW w:type="dxa" w:w="323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AZ loss</w:t>
            </w:r>
          </w:p>
        </w:tc>
        <w:tc>
          <w:tcPr>
            <w:tcW w:type="dxa" w:w="640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Topology spread ensures ≥ 2/3 capacity; HPA scales in surviving AZs; Kafka/Redis/PG failover automatic</w:t>
            </w:r>
          </w:p>
        </w:tc>
      </w:tr>
      <w:tr>
        <w:trPr>
          <w:cantSplit/>
          <w:tblHeader w:val="false"/>
        </w:trPr>
        <w:tc>
          <w:tcPr>
            <w:tcW w:type="dxa" w:w="323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Region loss</w:t>
            </w:r>
          </w:p>
        </w:tc>
        <w:tc>
          <w:tcPr>
            <w:tcW w:type="dxa" w:w="640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Warm-standby failover per §7.3 or active-active continues in remaining regions</w:t>
            </w:r>
          </w:p>
        </w:tc>
      </w:tr>
      <w:tr>
        <w:trPr>
          <w:cantSplit/>
          <w:tblHeader w:val="false"/>
        </w:trPr>
        <w:tc>
          <w:tcPr>
            <w:tcW w:type="dxa" w:w="323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Mesh control-plane failure</w:t>
            </w:r>
          </w:p>
        </w:tc>
        <w:tc>
          <w:tcPr>
            <w:tcW w:type="dxa" w:w="640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Data plane continues with cached config/certs (certs valid 24 h)</w:t>
            </w:r>
          </w:p>
        </w:tc>
      </w:tr>
      <w:tr>
        <w:trPr>
          <w:cantSplit/>
          <w:tblHeader w:val="false"/>
        </w:trPr>
        <w:tc>
          <w:tcPr>
            <w:tcW w:type="dxa" w:w="3233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KMS unavailable</w:t>
            </w:r>
          </w:p>
        </w:tc>
        <w:tc>
          <w:tcPr>
            <w:tcW w:type="dxa" w:w="6405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Running pods continue with cached data keys; new volume mounts fail → P1 platform incident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11. Acceptance Criteria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4"/>
        <w:gridCol w:w="7314"/>
      </w:tblGrid>
      <w:tr>
        <w:trPr>
          <w:cantSplit/>
          <w:tblHeader/>
        </w:trPr>
        <w:tc>
          <w:tcPr>
            <w:tcW w:type="dxa" w:w="23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3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</w:tr>
      <w:tr>
        <w:trPr>
          <w:cantSplit/>
          <w:tblHeader w:val="false"/>
        </w:trPr>
        <w:tc>
          <w:tcPr>
            <w:tcW w:type="dxa" w:w="23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TS09-AC-001</w:t>
            </w:r>
          </w:p>
        </w:tc>
        <w:tc>
          <w:tcPr>
            <w:tcW w:type="dxa" w:w="73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AZ-failure game day: zero acknowledged event loss; throughput recovered ≤ 10 min</w:t>
            </w:r>
          </w:p>
        </w:tc>
      </w:tr>
      <w:tr>
        <w:trPr>
          <w:cantSplit/>
          <w:tblHeader w:val="false"/>
        </w:trPr>
        <w:tc>
          <w:tcPr>
            <w:tcW w:type="dxa" w:w="23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TS09-AC-002</w:t>
            </w:r>
          </w:p>
        </w:tc>
        <w:tc>
          <w:tcPr>
            <w:tcW w:type="dxa" w:w="73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DR failover exercise meets RPO &lt; 5 min and RTO &lt; 15 min with canary incident passing</w:t>
            </w:r>
          </w:p>
        </w:tc>
      </w:tr>
      <w:tr>
        <w:trPr>
          <w:cantSplit/>
          <w:tblHeader w:val="false"/>
        </w:trPr>
        <w:tc>
          <w:tcPr>
            <w:tcW w:type="dxa" w:w="23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TS09-AC-003</w:t>
            </w:r>
          </w:p>
        </w:tc>
        <w:tc>
          <w:tcPr>
            <w:tcW w:type="dxa" w:w="73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Policy audit: 100% of workloads comply with PSS restricted (or approved exception), signed images, limits set</w:t>
            </w:r>
          </w:p>
        </w:tc>
      </w:tr>
      <w:tr>
        <w:trPr>
          <w:cantSplit/>
          <w:tblHeader w:val="false"/>
        </w:trPr>
        <w:tc>
          <w:tcPr>
            <w:tcW w:type="dxa" w:w="232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TS09-AC-004</w:t>
            </w:r>
          </w:p>
        </w:tc>
        <w:tc>
          <w:tcPr>
            <w:tcW w:type="dxa" w:w="7314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Penetration test of ingress and agent egress paths: no critical/high findings open at go-live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12. Assumptions and Open Issues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0"/>
        <w:gridCol w:w="7918"/>
      </w:tblGrid>
      <w:tr>
        <w:trPr>
          <w:cantSplit/>
          <w:tblHeader/>
        </w:trPr>
        <w:tc>
          <w:tcPr>
            <w:tcW w:type="dxa" w:w="172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9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</w:tr>
      <w:tr>
        <w:trPr>
          <w:cantSplit/>
          <w:tblHeader w:val="false"/>
        </w:trPr>
        <w:tc>
          <w:tcPr>
            <w:tcW w:type="dxa" w:w="172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OI-01</w:t>
            </w:r>
          </w:p>
        </w:tc>
        <w:tc>
          <w:tcPr>
            <w:tcW w:type="dxa" w:w="79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In-cluster Kafka (Strimzi) vs. managed Kafka service — decide per hosting model; spec values hold for both</w:t>
            </w:r>
          </w:p>
        </w:tc>
      </w:tr>
      <w:tr>
        <w:trPr>
          <w:cantSplit/>
          <w:tblHeader w:val="false"/>
        </w:trPr>
        <w:tc>
          <w:tcPr>
            <w:tcW w:type="dxa" w:w="172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OI-02</w:t>
            </w:r>
          </w:p>
        </w:tc>
        <w:tc>
          <w:tcPr>
            <w:tcW w:type="dxa" w:w="791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2"/>
            </w:pPr>
            <w:r>
              <w:rPr>
                <w:sz w:val="18"/>
                <w:szCs w:val="18"/>
              </w:rPr>
              <w:t xml:space="preserve">GPU availability for inference and GNN in on-premises deployments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6"/>
        <w:szCs w:val="16"/>
      </w:rPr>
      <w:t xml:space="preserve">Sakul Gupta · Confidential</w:t>
    </w:r>
    <w:r>
      <w:rPr>
        <w:color w:val="595959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4" w:sz="4" w:space="4"/>
      </w:pBdr>
      <w:tabs>
        <w:tab w:val="right" w:pos="9638"/>
      </w:tabs>
    </w:pPr>
    <w:r>
      <w:rPr>
        <w:color w:val="595959"/>
        <w:sz w:val="16"/>
        <w:szCs w:val="16"/>
      </w:rPr>
      <w:t xml:space="preserve">TS-09 · Deployment Architecture, HA/DR and Platform Security</w:t>
    </w:r>
    <w:r>
      <w:rPr>
        <w:color w:val="595959"/>
        <w:sz w:val="16"/>
        <w:szCs w:val="16"/>
      </w:rPr>
      <w:t xml:space="preserve">	Technical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F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TS-09 Deployment Architecture, HA/DR and Platform Security</dc:title>
  <dc:creator>Sakul Gupta</dc:creator>
  <cp:lastModifiedBy>Un-named</cp:lastModifiedBy>
  <cp:revision>1</cp:revision>
  <dcterms:created xsi:type="dcterms:W3CDTF">2026-10-14T09:35:30.959Z</dcterms:created>
  <dcterms:modified xsi:type="dcterms:W3CDTF">2026-10-14T09:35:30.959Z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