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TS-10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Governance, Risk and Compliance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Model governance (registry policy, explainability, bias assessment, change control), the immutable audit trail, data privacy and retention controls, and the compliance control mapping for SOC 2 and GDPR with configurable regulated-industry options.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6342"/>
      </w:tblGrid>
      <w:tr>
        <w:trPr>
          <w:cantSplit/>
          <w:tblHeader/>
        </w:trPr>
        <w:tc>
          <w:tcPr>
            <w:tcW w:type="dxa" w:w="32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2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3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TS-10</w:t>
            </w:r>
          </w:p>
        </w:tc>
      </w:tr>
      <w:tr>
        <w:trPr>
          <w:cantSplit/>
          <w:tblHeader w:val="false"/>
        </w:trPr>
        <w:tc>
          <w:tcPr>
            <w:tcW w:type="dxa" w:w="32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3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2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3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2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3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2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3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09 Governance, Risk &amp; Compliance · 05 (Model Governance) · 12 (Next Steps — ML Governance Committee)</w:t>
            </w:r>
          </w:p>
        </w:tc>
      </w:tr>
      <w:tr>
        <w:trPr>
          <w:cantSplit/>
          <w:tblHeader w:val="false"/>
        </w:trPr>
        <w:tc>
          <w:tcPr>
            <w:tcW w:type="dxa" w:w="32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3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TS-06, TS-16</w:t>
            </w:r>
          </w:p>
        </w:tc>
      </w:tr>
      <w:tr>
        <w:trPr>
          <w:cantSplit/>
          <w:tblHeader w:val="false"/>
        </w:trPr>
        <w:tc>
          <w:tcPr>
            <w:tcW w:type="dxa" w:w="32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3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29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3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Governance Bodies and Roles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Key Design Decisions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Model Governance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Audit Store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6.1 Record types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6.2 Storage and integrity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6.3 Retention schedule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Data Privacy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Compliance Control Mapping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Regulated-Industry Configuration Profiles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Governance Reporting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Defines the controls that keep the solution trustworthy, auditable and compliant: who may approve models and rules, what evidence is kept, how personal data is minimised, how long records are retained, and how controls map to common frameworks. Agent-specific action governance is in TS-16; this specification provides the shared audit store and governance bodies that TS-16 relies on.</w:t>
      </w:r>
    </w:p>
    <w:p>
      <w:pPr>
        <w:pStyle w:val="Heading1"/>
      </w:pPr>
      <w:r>
        <w:t xml:space="preserve">2. Governance Bodies and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4893"/>
        <w:gridCol w:w="2143"/>
      </w:tblGrid>
      <w:tr>
        <w:trPr>
          <w:cantSplit/>
          <w:tblHeader/>
        </w:trPr>
        <w:tc>
          <w:tcPr>
            <w:tcW w:type="dxa" w:w="26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Body / role</w:t>
            </w:r>
          </w:p>
        </w:tc>
        <w:tc>
          <w:tcPr>
            <w:tcW w:type="dxa" w:w="48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Governance Committee</w:t>
            </w:r>
          </w:p>
        </w:tc>
        <w:tc>
          <w:tcPr>
            <w:tcW w:type="dxa" w:w="48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Approve major model versions; review bias, drift and performance reports; own model risk register</w:t>
            </w:r>
          </w:p>
        </w:tc>
        <w:tc>
          <w:tcPr>
            <w:tcW w:type="dxa" w:w="2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Monthly + ad hoc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Advisory Board (CAB)</w:t>
            </w:r>
          </w:p>
        </w:tc>
        <w:tc>
          <w:tcPr>
            <w:tcW w:type="dxa" w:w="48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Approve major model versions, policy changes affecting P1/P2 behaviour, agent tier reclassification</w:t>
            </w:r>
          </w:p>
        </w:tc>
        <w:tc>
          <w:tcPr>
            <w:tcW w:type="dxa" w:w="2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change calendar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owner (ML Engineering)</w:t>
            </w:r>
          </w:p>
        </w:tc>
        <w:tc>
          <w:tcPr>
            <w:tcW w:type="dxa" w:w="48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cards, evaluation, minor version peer review</w:t>
            </w:r>
          </w:p>
        </w:tc>
        <w:tc>
          <w:tcPr>
            <w:tcW w:type="dxa" w:w="2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Continuous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Policy owner (SRE Platform)</w:t>
            </w:r>
          </w:p>
        </w:tc>
        <w:tc>
          <w:tcPr>
            <w:tcW w:type="dxa" w:w="48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Severity, suppression and routing policies</w:t>
            </w:r>
          </w:p>
        </w:tc>
        <w:tc>
          <w:tcPr>
            <w:tcW w:type="dxa" w:w="2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Continuous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Protection Officer</w:t>
            </w:r>
          </w:p>
        </w:tc>
        <w:tc>
          <w:tcPr>
            <w:tcW w:type="dxa" w:w="48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Approve PII field lists, pseudonymisation and retention</w:t>
            </w:r>
          </w:p>
        </w:tc>
        <w:tc>
          <w:tcPr>
            <w:tcW w:type="dxa" w:w="2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Quarterly review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48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Independent review of audit trail completeness and control operation</w:t>
            </w:r>
          </w:p>
        </w:tc>
        <w:tc>
          <w:tcPr>
            <w:tcW w:type="dxa" w:w="2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Annual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9"/>
        <w:gridCol w:w="4779"/>
      </w:tblGrid>
      <w:tr>
        <w:trPr>
          <w:cantSplit/>
          <w:tblHeader/>
        </w:trPr>
        <w:tc>
          <w:tcPr>
            <w:tcW w:type="dxa" w:w="4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7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4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Single append-only audit store for predictions, decisions, config changes and agent actions</w:t>
            </w:r>
          </w:p>
        </w:tc>
        <w:tc>
          <w:tcPr>
            <w:tcW w:type="dxa" w:w="47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place to reconstruct "why did the system do that"</w:t>
            </w:r>
          </w:p>
        </w:tc>
      </w:tr>
      <w:tr>
        <w:trPr>
          <w:cantSplit/>
          <w:tblHeader w:val="false"/>
        </w:trPr>
        <w:tc>
          <w:tcPr>
            <w:tcW w:type="dxa" w:w="4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Explanations generated at prediction time, not reconstructed later</w:t>
            </w:r>
          </w:p>
        </w:tc>
        <w:tc>
          <w:tcPr>
            <w:tcW w:type="dxa" w:w="47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Explanations match the exact model and features used</w:t>
            </w:r>
          </w:p>
        </w:tc>
      </w:tr>
      <w:tr>
        <w:trPr>
          <w:cantSplit/>
          <w:tblHeader w:val="false"/>
        </w:trPr>
        <w:tc>
          <w:tcPr>
            <w:tcW w:type="dxa" w:w="4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Pseudonymise before training, not after</w:t>
            </w:r>
          </w:p>
        </w:tc>
        <w:tc>
          <w:tcPr>
            <w:tcW w:type="dxa" w:w="47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Training sets never contain direct identifiers</w:t>
            </w:r>
          </w:p>
        </w:tc>
      </w:tr>
      <w:tr>
        <w:trPr>
          <w:cantSplit/>
          <w:tblHeader w:val="false"/>
        </w:trPr>
        <w:tc>
          <w:tcPr>
            <w:tcW w:type="dxa" w:w="4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Compliance options as configuration profiles</w:t>
            </w:r>
          </w:p>
        </w:tc>
        <w:tc>
          <w:tcPr>
            <w:tcW w:type="dxa" w:w="47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 core; regulated profiles add residency, retention and evidence controls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017"/>
      </w:tblGrid>
      <w:tr>
        <w:trPr>
          <w:cantSplit/>
          <w:tblHeader/>
        </w:trPr>
        <w:tc>
          <w:tcPr>
            <w:tcW w:type="dxa" w:w="26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TS10-NFR-001</w:t>
            </w:r>
          </w:p>
        </w:tc>
        <w:tc>
          <w:tcPr>
            <w:tcW w:type="dxa" w:w="70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 records immutable for retention period; tamper-evident (hash chain)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TS10-NFR-002</w:t>
            </w:r>
          </w:p>
        </w:tc>
        <w:tc>
          <w:tcPr>
            <w:tcW w:type="dxa" w:w="70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Any prediction, decision or agent action retrievable with lineage in ≤ 60 s query time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TS10-NFR-003</w:t>
            </w:r>
          </w:p>
        </w:tc>
        <w:tc>
          <w:tcPr>
            <w:tcW w:type="dxa" w:w="70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Monthly governance report generated automatically by day 3 of following month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Model Governance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1402"/>
        <w:gridCol w:w="3242"/>
        <w:gridCol w:w="2345"/>
        <w:gridCol w:w="1658"/>
      </w:tblGrid>
      <w:tr>
        <w:trPr>
          <w:cantSplit/>
          <w:tblHeader/>
        </w:trPr>
        <w:tc>
          <w:tcPr>
            <w:tcW w:type="dxa" w:w="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23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GOV-MR-01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Registry</w:t>
            </w:r>
          </w:p>
        </w:tc>
        <w:tc>
          <w:tcPr>
            <w:tcW w:type="dxa" w:w="32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model served unless registered with version, lineage, metrics, approval and retirement date</w:t>
            </w:r>
          </w:p>
        </w:tc>
        <w:tc>
          <w:tcPr>
            <w:tcW w:type="dxa" w:w="23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Inference loader refuses unregistered/unsigned artefacts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Registry export; loader logs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GOV-MR-02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Retirement</w:t>
            </w:r>
          </w:p>
        </w:tc>
        <w:tc>
          <w:tcPr>
            <w:tcW w:type="dxa" w:w="32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Models reviewed before retirement date; expired models cannot be promoted</w:t>
            </w:r>
          </w:p>
        </w:tc>
        <w:tc>
          <w:tcPr>
            <w:tcW w:type="dxa" w:w="23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Registry stage rule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Review minutes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GOV-EX-01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32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detection carries SHAP top-k and per-model contribution</w:t>
            </w:r>
          </w:p>
        </w:tc>
        <w:tc>
          <w:tcPr>
            <w:tcW w:type="dxa" w:w="23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 detection schema validation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Sample audit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GOV-EX-02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Explanation fidelity</w:t>
            </w:r>
          </w:p>
        </w:tc>
        <w:tc>
          <w:tcPr>
            <w:tcW w:type="dxa" w:w="32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Quarterly check: removing top-3 SHAP features reduces score by ≥ 40% on average</w:t>
            </w:r>
          </w:p>
        </w:tc>
        <w:tc>
          <w:tcPr>
            <w:tcW w:type="dxa" w:w="23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Evaluation job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Report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GOV-BI-01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Bias / blind spots</w:t>
            </w:r>
          </w:p>
        </w:tc>
        <w:tc>
          <w:tcPr>
            <w:tcW w:type="dxa" w:w="32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 recall and FP rate sliced by tier, region/site, entity class, time-of-day, business vs. off hours</w:t>
            </w:r>
          </w:p>
        </w:tc>
        <w:tc>
          <w:tcPr>
            <w:tcW w:type="dxa" w:w="23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Evaluation slices (TS-06 §8.2)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Monthly report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GOV-BI-02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Slice tolerance</w:t>
            </w:r>
          </w:p>
        </w:tc>
        <w:tc>
          <w:tcPr>
            <w:tcW w:type="dxa" w:w="32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slice recall &lt; 0.8 × overall recall without documented exception</w:t>
            </w:r>
          </w:p>
        </w:tc>
        <w:tc>
          <w:tcPr>
            <w:tcW w:type="dxa" w:w="23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Promotion gate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 log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GOV-CC-01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control</w:t>
            </w:r>
          </w:p>
        </w:tc>
        <w:tc>
          <w:tcPr>
            <w:tcW w:type="dxa" w:w="32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Major model versions: CAB + ML Governance approval; minor: peer review + automated gate</w:t>
            </w:r>
          </w:p>
        </w:tc>
        <w:tc>
          <w:tcPr>
            <w:tcW w:type="dxa" w:w="23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Registry approval fields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records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GOV-CC-02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Policy changes</w:t>
            </w:r>
          </w:p>
        </w:tc>
        <w:tc>
          <w:tcPr>
            <w:tcW w:type="dxa" w:w="32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Severity/suppression/routing changes via Git PR with two approvers incl. policy owner</w:t>
            </w:r>
          </w:p>
        </w:tc>
        <w:tc>
          <w:tcPr>
            <w:tcW w:type="dxa" w:w="23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Branch protection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 history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GOV-AU-01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 trail</w:t>
            </w:r>
          </w:p>
        </w:tc>
        <w:tc>
          <w:tcPr>
            <w:tcW w:type="dxa" w:w="32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predictions (TP and FP) retained ≥ 12 months with traceability to feature values</w:t>
            </w:r>
          </w:p>
        </w:tc>
        <w:tc>
          <w:tcPr>
            <w:tcW w:type="dxa" w:w="23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 store + offline features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Retrieval test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Audit Store</w:t>
      </w:r>
    </w:p>
    <w:p>
      <w:pPr>
        <w:pStyle w:val="Heading2"/>
      </w:pPr>
      <w:r>
        <w:t xml:space="preserve">6.1 Record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8"/>
        <w:gridCol w:w="2123"/>
        <w:gridCol w:w="5107"/>
      </w:tblGrid>
      <w:tr>
        <w:trPr>
          <w:cantSplit/>
          <w:tblHeader/>
        </w:trPr>
        <w:tc>
          <w:tcPr>
            <w:tcW w:type="dxa" w:w="24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record_type</w:t>
            </w:r>
          </w:p>
        </w:tc>
        <w:tc>
          <w:tcPr>
            <w:tcW w:type="dxa" w:w="21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51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content</w:t>
            </w:r>
          </w:p>
        </w:tc>
      </w:tr>
      <w:tr>
        <w:trPr>
          <w:cantSplit/>
          <w:tblHeader w:val="false"/>
        </w:trPr>
        <w:tc>
          <w:tcPr>
            <w:tcW w:type="dxa" w:w="24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prediction</w:t>
            </w:r>
          </w:p>
        </w:tc>
        <w:tc>
          <w:tcPr>
            <w:tcW w:type="dxa" w:w="21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</w:t>
            </w:r>
          </w:p>
        </w:tc>
        <w:tc>
          <w:tcPr>
            <w:tcW w:type="dxa" w:w="51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detection_id, model versions, scores, top features with values, feature_vector_id</w:t>
            </w:r>
          </w:p>
        </w:tc>
      </w:tr>
      <w:tr>
        <w:trPr>
          <w:cantSplit/>
          <w:tblHeader w:val="false"/>
        </w:trPr>
        <w:tc>
          <w:tcPr>
            <w:tcW w:type="dxa" w:w="24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decision</w:t>
            </w:r>
          </w:p>
        </w:tc>
        <w:tc>
          <w:tcPr>
            <w:tcW w:type="dxa" w:w="21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</w:t>
            </w:r>
          </w:p>
        </w:tc>
        <w:tc>
          <w:tcPr>
            <w:tcW w:type="dxa" w:w="51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candidate_id, filters evaluated, severity inputs and rule, outcome</w:t>
            </w:r>
          </w:p>
        </w:tc>
      </w:tr>
      <w:tr>
        <w:trPr>
          <w:cantSplit/>
          <w:tblHeader w:val="false"/>
        </w:trPr>
        <w:tc>
          <w:tcPr>
            <w:tcW w:type="dxa" w:w="24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itsm_operation</w:t>
            </w:r>
          </w:p>
        </w:tc>
        <w:tc>
          <w:tcPr>
            <w:tcW w:type="dxa" w:w="21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TS-08</w:t>
            </w:r>
          </w:p>
        </w:tc>
        <w:tc>
          <w:tcPr>
            <w:tcW w:type="dxa" w:w="51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platform, operation, external_ref, result</w:t>
            </w:r>
          </w:p>
        </w:tc>
      </w:tr>
      <w:tr>
        <w:trPr>
          <w:cantSplit/>
          <w:tblHeader w:val="false"/>
        </w:trPr>
        <w:tc>
          <w:tcPr>
            <w:tcW w:type="dxa" w:w="24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label</w:t>
            </w:r>
          </w:p>
        </w:tc>
        <w:tc>
          <w:tcPr>
            <w:tcW w:type="dxa" w:w="21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TS-08</w:t>
            </w:r>
          </w:p>
        </w:tc>
        <w:tc>
          <w:tcPr>
            <w:tcW w:type="dxa" w:w="51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feedback label, actor (pseudonymised)</w:t>
            </w:r>
          </w:p>
        </w:tc>
      </w:tr>
      <w:tr>
        <w:trPr>
          <w:cantSplit/>
          <w:tblHeader w:val="false"/>
        </w:trPr>
        <w:tc>
          <w:tcPr>
            <w:tcW w:type="dxa" w:w="24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config_change</w:t>
            </w:r>
          </w:p>
        </w:tc>
        <w:tc>
          <w:tcPr>
            <w:tcW w:type="dxa" w:w="21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GitOps (TS-11)</w:t>
            </w:r>
          </w:p>
        </w:tc>
        <w:tc>
          <w:tcPr>
            <w:tcW w:type="dxa" w:w="51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commit, diff summary, approver, apply result</w:t>
            </w:r>
          </w:p>
        </w:tc>
      </w:tr>
      <w:tr>
        <w:trPr>
          <w:cantSplit/>
          <w:tblHeader w:val="false"/>
        </w:trPr>
        <w:tc>
          <w:tcPr>
            <w:tcW w:type="dxa" w:w="24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model_lifecycle</w:t>
            </w:r>
          </w:p>
        </w:tc>
        <w:tc>
          <w:tcPr>
            <w:tcW w:type="dxa" w:w="21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TS-06</w:t>
            </w:r>
          </w:p>
        </w:tc>
        <w:tc>
          <w:tcPr>
            <w:tcW w:type="dxa" w:w="51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stage transition, gate metrics, approver</w:t>
            </w:r>
          </w:p>
        </w:tc>
      </w:tr>
      <w:tr>
        <w:trPr>
          <w:cantSplit/>
          <w:tblHeader w:val="false"/>
        </w:trPr>
        <w:tc>
          <w:tcPr>
            <w:tcW w:type="dxa" w:w="24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threshold_change</w:t>
            </w:r>
          </w:p>
        </w:tc>
        <w:tc>
          <w:tcPr>
            <w:tcW w:type="dxa" w:w="21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TS-11</w:t>
            </w:r>
          </w:p>
        </w:tc>
        <w:tc>
          <w:tcPr>
            <w:tcW w:type="dxa" w:w="51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parameter, old, new, trigger, cumulative drift</w:t>
            </w:r>
          </w:p>
        </w:tc>
      </w:tr>
      <w:tr>
        <w:trPr>
          <w:cantSplit/>
          <w:tblHeader w:val="false"/>
        </w:trPr>
        <w:tc>
          <w:tcPr>
            <w:tcW w:type="dxa" w:w="24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agent_action</w:t>
            </w:r>
          </w:p>
        </w:tc>
        <w:tc>
          <w:tcPr>
            <w:tcW w:type="dxa" w:w="21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TS-14/16</w:t>
            </w:r>
          </w:p>
        </w:tc>
        <w:tc>
          <w:tcPr>
            <w:tcW w:type="dxa" w:w="51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Full audit fields per TS-16 §7</w:t>
            </w:r>
          </w:p>
        </w:tc>
      </w:tr>
      <w:tr>
        <w:trPr>
          <w:cantSplit/>
          <w:tblHeader w:val="false"/>
        </w:trPr>
        <w:tc>
          <w:tcPr>
            <w:tcW w:type="dxa" w:w="24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access</w:t>
            </w:r>
          </w:p>
        </w:tc>
        <w:tc>
          <w:tcPr>
            <w:tcW w:type="dxa" w:w="21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51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Privileged human access events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Storage and integrity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208"/>
      </w:tblGrid>
      <w:tr>
        <w:trPr>
          <w:cantSplit/>
          <w:tblHeader/>
        </w:trPr>
        <w:tc>
          <w:tcPr>
            <w:tcW w:type="dxa" w:w="24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4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Ingest</w:t>
            </w:r>
          </w:p>
        </w:tc>
        <w:tc>
          <w:tcPr>
            <w:tcW w:type="dxa" w:w="72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audit.trail</w:t>
            </w:r>
            <w:r>
              <w:rPr>
                <w:sz w:val="18"/>
                <w:szCs w:val="18"/>
              </w:rPr>
              <w:t xml:space="preserve"> topic → audit sink (exactly-once)</w:t>
            </w:r>
          </w:p>
        </w:tc>
      </w:tr>
      <w:tr>
        <w:trPr>
          <w:cantSplit/>
          <w:tblHeader w:val="false"/>
        </w:trPr>
        <w:tc>
          <w:tcPr>
            <w:tcW w:type="dxa" w:w="24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Primary store</w:t>
            </w:r>
          </w:p>
        </w:tc>
        <w:tc>
          <w:tcPr>
            <w:tcW w:type="dxa" w:w="72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OpenSearch index with write-once ILM policy (no update/delete API for any role); daily indices</w:t>
            </w:r>
          </w:p>
        </w:tc>
      </w:tr>
      <w:tr>
        <w:trPr>
          <w:cantSplit/>
          <w:tblHeader w:val="false"/>
        </w:trPr>
        <w:tc>
          <w:tcPr>
            <w:tcW w:type="dxa" w:w="24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Archive</w:t>
            </w:r>
          </w:p>
        </w:tc>
        <w:tc>
          <w:tcPr>
            <w:tcW w:type="dxa" w:w="72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Object storage with object lock (compliance mode) for full retention period</w:t>
            </w:r>
          </w:p>
        </w:tc>
      </w:tr>
      <w:tr>
        <w:trPr>
          <w:cantSplit/>
          <w:tblHeader w:val="false"/>
        </w:trPr>
        <w:tc>
          <w:tcPr>
            <w:tcW w:type="dxa" w:w="24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Tamper evidence</w:t>
            </w:r>
          </w:p>
        </w:tc>
        <w:tc>
          <w:tcPr>
            <w:tcW w:type="dxa" w:w="72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Per-index hourly hash chain: H_n = SHA-256(H_{n−1} ‖ SHA-256(records in hour n)); chain anchors written to a separate account/bucket</w:t>
            </w:r>
          </w:p>
        </w:tc>
      </w:tr>
      <w:tr>
        <w:trPr>
          <w:cantSplit/>
          <w:tblHeader w:val="false"/>
        </w:trPr>
        <w:tc>
          <w:tcPr>
            <w:tcW w:type="dxa" w:w="24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Access</w:t>
            </w:r>
          </w:p>
        </w:tc>
        <w:tc>
          <w:tcPr>
            <w:tcW w:type="dxa" w:w="72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auditor</w:t>
            </w:r>
            <w:r>
              <w:rPr>
                <w:sz w:val="18"/>
                <w:szCs w:val="18"/>
              </w:rPr>
              <w:t xml:space="preserve"> role read-only; agents and services have no read or delete rights on audit indices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Retention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9"/>
        <w:gridCol w:w="4037"/>
        <w:gridCol w:w="2422"/>
      </w:tblGrid>
      <w:tr>
        <w:trPr>
          <w:cantSplit/>
          <w:tblHeader/>
        </w:trPr>
        <w:tc>
          <w:tcPr>
            <w:tcW w:type="dxa" w:w="31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 retention</w:t>
            </w:r>
          </w:p>
        </w:tc>
        <w:tc>
          <w:tcPr>
            <w:tcW w:type="dxa" w:w="2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Configurable range</w:t>
            </w:r>
          </w:p>
        </w:tc>
      </w:tr>
      <w:tr>
        <w:trPr>
          <w:cantSplit/>
          <w:tblHeader w:val="false"/>
        </w:trPr>
        <w:tc>
          <w:tcPr>
            <w:tcW w:type="dxa" w:w="31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Raw telemetry topics</w:t>
            </w:r>
          </w:p>
        </w:tc>
        <w:tc>
          <w:tcPr>
            <w:tcW w:type="dxa" w:w="4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72 h</w:t>
            </w:r>
          </w:p>
        </w:tc>
        <w:tc>
          <w:tcPr>
            <w:tcW w:type="dxa" w:w="2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h–14 d</w:t>
            </w:r>
          </w:p>
        </w:tc>
      </w:tr>
      <w:tr>
        <w:trPr>
          <w:cantSplit/>
          <w:tblHeader w:val="false"/>
        </w:trPr>
        <w:tc>
          <w:tcPr>
            <w:tcW w:type="dxa" w:w="31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Hot logs (OpenSearch)</w:t>
            </w:r>
          </w:p>
        </w:tc>
        <w:tc>
          <w:tcPr>
            <w:tcW w:type="dxa" w:w="4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 d hot, 30 d warm, 90 d cold, delete at 12 months</w:t>
            </w:r>
          </w:p>
        </w:tc>
        <w:tc>
          <w:tcPr>
            <w:tcW w:type="dxa" w:w="2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profile</w:t>
            </w:r>
          </w:p>
        </w:tc>
      </w:tr>
      <w:tr>
        <w:trPr>
          <w:cantSplit/>
          <w:tblHeader w:val="false"/>
        </w:trPr>
        <w:tc>
          <w:tcPr>
            <w:tcW w:type="dxa" w:w="31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Metrics (VictoriaMetrics)</w:t>
            </w:r>
          </w:p>
        </w:tc>
        <w:tc>
          <w:tcPr>
            <w:tcW w:type="dxa" w:w="4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 months infra; 6 months high-cardinality app</w:t>
            </w:r>
          </w:p>
        </w:tc>
        <w:tc>
          <w:tcPr>
            <w:tcW w:type="dxa" w:w="2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profile</w:t>
            </w:r>
          </w:p>
        </w:tc>
      </w:tr>
      <w:tr>
        <w:trPr>
          <w:cantSplit/>
          <w:tblHeader w:val="false"/>
        </w:trPr>
        <w:tc>
          <w:tcPr>
            <w:tcW w:type="dxa" w:w="31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Feature training data</w:t>
            </w:r>
          </w:p>
        </w:tc>
        <w:tc>
          <w:tcPr>
            <w:tcW w:type="dxa" w:w="4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months</w:t>
            </w:r>
          </w:p>
        </w:tc>
        <w:tc>
          <w:tcPr>
            <w:tcW w:type="dxa" w:w="2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12–60 months</w:t>
            </w:r>
          </w:p>
        </w:tc>
      </w:tr>
      <w:tr>
        <w:trPr>
          <w:cantSplit/>
          <w:tblHeader w:val="false"/>
        </w:trPr>
        <w:tc>
          <w:tcPr>
            <w:tcW w:type="dxa" w:w="31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Predictions and decisions audit</w:t>
            </w:r>
          </w:p>
        </w:tc>
        <w:tc>
          <w:tcPr>
            <w:tcW w:type="dxa" w:w="4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12 months</w:t>
            </w:r>
          </w:p>
        </w:tc>
        <w:tc>
          <w:tcPr>
            <w:tcW w:type="dxa" w:w="2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 months–7 years</w:t>
            </w:r>
          </w:p>
        </w:tc>
      </w:tr>
      <w:tr>
        <w:trPr>
          <w:cantSplit/>
          <w:tblHeader w:val="false"/>
        </w:trPr>
        <w:tc>
          <w:tcPr>
            <w:tcW w:type="dxa" w:w="31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action audit</w:t>
            </w:r>
          </w:p>
        </w:tc>
        <w:tc>
          <w:tcPr>
            <w:tcW w:type="dxa" w:w="4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24 months</w:t>
            </w:r>
          </w:p>
        </w:tc>
        <w:tc>
          <w:tcPr>
            <w:tcW w:type="dxa" w:w="2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months–7 years</w:t>
            </w:r>
          </w:p>
        </w:tc>
      </w:tr>
      <w:tr>
        <w:trPr>
          <w:cantSplit/>
          <w:tblHeader w:val="false"/>
        </w:trPr>
        <w:tc>
          <w:tcPr>
            <w:tcW w:type="dxa" w:w="31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artefacts</w:t>
            </w:r>
          </w:p>
        </w:tc>
        <w:tc>
          <w:tcPr>
            <w:tcW w:type="dxa" w:w="4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Indefinite (registry)</w:t>
            </w:r>
          </w:p>
        </w:tc>
        <w:tc>
          <w:tcPr>
            <w:tcW w:type="dxa" w:w="2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1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 logs (platform/access)</w:t>
            </w:r>
          </w:p>
        </w:tc>
        <w:tc>
          <w:tcPr>
            <w:tcW w:type="dxa" w:w="4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 years</w:t>
            </w:r>
          </w:p>
        </w:tc>
        <w:tc>
          <w:tcPr>
            <w:tcW w:type="dxa" w:w="24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1–10 years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Data Privacy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0"/>
        <w:gridCol w:w="1824"/>
        <w:gridCol w:w="6524"/>
      </w:tblGrid>
      <w:tr>
        <w:trPr>
          <w:cantSplit/>
          <w:tblHeader/>
        </w:trPr>
        <w:tc>
          <w:tcPr>
            <w:tcW w:type="dxa" w:w="1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tcW w:type="dxa" w:w="18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5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PRIV-01</w:t>
            </w:r>
          </w:p>
        </w:tc>
        <w:tc>
          <w:tcPr>
            <w:tcW w:type="dxa" w:w="18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minimisation</w:t>
            </w:r>
          </w:p>
        </w:tc>
        <w:tc>
          <w:tcPr>
            <w:tcW w:type="dxa" w:w="65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descriptors declare fields; unmapped fields dropped at normalisation unless whitelisted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PRIV-02</w:t>
            </w:r>
          </w:p>
        </w:tc>
        <w:tc>
          <w:tcPr>
            <w:tcW w:type="dxa" w:w="18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Pseudonymisation</w:t>
            </w:r>
          </w:p>
        </w:tc>
        <w:tc>
          <w:tcPr>
            <w:tcW w:type="dxa" w:w="65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HMAC-SHA256 with KMS keys, rotated 90 days (TS-03 §8.7)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PRIV-03</w:t>
            </w:r>
          </w:p>
        </w:tc>
        <w:tc>
          <w:tcPr>
            <w:tcW w:type="dxa" w:w="18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Re-identification</w:t>
            </w:r>
          </w:p>
        </w:tc>
        <w:tc>
          <w:tcPr>
            <w:tcW w:type="dxa" w:w="65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dpo-approved</w:t>
            </w:r>
            <w:r>
              <w:rPr>
                <w:sz w:val="18"/>
                <w:szCs w:val="18"/>
              </w:rPr>
              <w:t xml:space="preserve"> role via break-glass workflow with ticket reference; logged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PRIV-04</w:t>
            </w:r>
          </w:p>
        </w:tc>
        <w:tc>
          <w:tcPr>
            <w:tcW w:type="dxa" w:w="18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LLM prompt redaction</w:t>
            </w:r>
          </w:p>
        </w:tc>
        <w:tc>
          <w:tcPr>
            <w:tcW w:type="dxa" w:w="65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Pre-prompt redaction of emails, phone numbers, card-like numbers, national-ID patterns, secrets/tokens (TS-13)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PRIV-05</w:t>
            </w:r>
          </w:p>
        </w:tc>
        <w:tc>
          <w:tcPr>
            <w:tcW w:type="dxa" w:w="18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Right to erasure</w:t>
            </w:r>
          </w:p>
        </w:tc>
        <w:tc>
          <w:tcPr>
            <w:tcW w:type="dxa" w:w="65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Pseudonym key destruction for a subject renders training data non-attributable; erasure log maintained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PRIV-06</w:t>
            </w:r>
          </w:p>
        </w:tc>
        <w:tc>
          <w:tcPr>
            <w:tcW w:type="dxa" w:w="18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Automated decisions</w:t>
            </w:r>
          </w:p>
        </w:tc>
        <w:tc>
          <w:tcPr>
            <w:tcW w:type="dxa" w:w="65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makes operational decisions only; no decisions with legal or similarly significant effect on natural persons (GDPR Art. 22 not triggered). Security detections about users are advisory and require human review before any action affecting a person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PRIV-07</w:t>
            </w:r>
          </w:p>
        </w:tc>
        <w:tc>
          <w:tcPr>
            <w:tcW w:type="dxa" w:w="18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65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Per-region processing; cross-region flow limited to detections/incidents; profile can forbid cross-region entirely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Compliance Control Mapping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4"/>
        <w:gridCol w:w="2992"/>
        <w:gridCol w:w="3702"/>
      </w:tblGrid>
      <w:tr>
        <w:trPr>
          <w:cantSplit/>
          <w:tblHeader/>
        </w:trPr>
        <w:tc>
          <w:tcPr>
            <w:tcW w:type="dxa" w:w="29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 / article</w:t>
            </w:r>
          </w:p>
        </w:tc>
        <w:tc>
          <w:tcPr>
            <w:tcW w:type="dxa" w:w="37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Solution controls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SOC 2 — CC6 (Logical access)</w:t>
            </w:r>
          </w:p>
        </w:tc>
        <w:tc>
          <w:tcPr>
            <w:tcW w:type="dxa" w:w="2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Access restricted and reviewed</w:t>
            </w:r>
          </w:p>
        </w:tc>
        <w:tc>
          <w:tcPr>
            <w:tcW w:type="dxa" w:w="37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TS09-SEC-003/004, quarterly access review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SOC 2 — CC7 (System operations)</w:t>
            </w:r>
          </w:p>
        </w:tc>
        <w:tc>
          <w:tcPr>
            <w:tcW w:type="dxa" w:w="2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Monitoring, incident response</w:t>
            </w:r>
          </w:p>
        </w:tc>
        <w:tc>
          <w:tcPr>
            <w:tcW w:type="dxa" w:w="37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Self-monitoring (TS-11), ITSM integration (TS-08)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SOC 2 — CC8 (Change management)</w:t>
            </w:r>
          </w:p>
        </w:tc>
        <w:tc>
          <w:tcPr>
            <w:tcW w:type="dxa" w:w="2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Authorised, tested changes</w:t>
            </w:r>
          </w:p>
        </w:tc>
        <w:tc>
          <w:tcPr>
            <w:tcW w:type="dxa" w:w="37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GOV-CC-01/02, GitOps (TS-11)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SOC 2 — A1 (Availability)</w:t>
            </w:r>
          </w:p>
        </w:tc>
        <w:tc>
          <w:tcPr>
            <w:tcW w:type="dxa" w:w="2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Capacity, backup, recovery</w:t>
            </w:r>
          </w:p>
        </w:tc>
        <w:tc>
          <w:tcPr>
            <w:tcW w:type="dxa" w:w="37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TS-09 HA/DR, TS-12 scaling, backup tests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GDPR Art. 5 / 25</w:t>
            </w:r>
          </w:p>
        </w:tc>
        <w:tc>
          <w:tcPr>
            <w:tcW w:type="dxa" w:w="2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Minimisation, privacy by design</w:t>
            </w:r>
          </w:p>
        </w:tc>
        <w:tc>
          <w:tcPr>
            <w:tcW w:type="dxa" w:w="37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PRIV-01, PRIV-02, PRIV-04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GDPR Art. 22</w:t>
            </w:r>
          </w:p>
        </w:tc>
        <w:tc>
          <w:tcPr>
            <w:tcW w:type="dxa" w:w="2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Automated individual decisions</w:t>
            </w:r>
          </w:p>
        </w:tc>
        <w:tc>
          <w:tcPr>
            <w:tcW w:type="dxa" w:w="37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PRIV-06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GDPR Art. 30</w:t>
            </w:r>
          </w:p>
        </w:tc>
        <w:tc>
          <w:tcPr>
            <w:tcW w:type="dxa" w:w="2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Records of processing</w:t>
            </w:r>
          </w:p>
        </w:tc>
        <w:tc>
          <w:tcPr>
            <w:tcW w:type="dxa" w:w="37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descriptor catalogue + retention schedule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ISO/IEC 42001 (AI management)</w:t>
            </w:r>
          </w:p>
        </w:tc>
        <w:tc>
          <w:tcPr>
            <w:tcW w:type="dxa" w:w="2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 risk, lifecycle, transparency</w:t>
            </w:r>
          </w:p>
        </w:tc>
        <w:tc>
          <w:tcPr>
            <w:tcW w:type="dxa" w:w="37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governance §5, model cards, TS-16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NIST AI RMF</w:t>
            </w:r>
          </w:p>
        </w:tc>
        <w:tc>
          <w:tcPr>
            <w:tcW w:type="dxa" w:w="2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Govern / Map / Measure / Manage</w:t>
            </w:r>
          </w:p>
        </w:tc>
        <w:tc>
          <w:tcPr>
            <w:tcW w:type="dxa" w:w="37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Committee, risk register, metrics, rollback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Regulated-Industry Configuration Profiles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2"/>
        <w:gridCol w:w="6266"/>
      </w:tblGrid>
      <w:tr>
        <w:trPr>
          <w:cantSplit/>
          <w:tblHeader/>
        </w:trPr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Profile option</w:t>
            </w:r>
          </w:p>
        </w:tc>
        <w:tc>
          <w:tcPr>
            <w:tcW w:type="dxa" w:w="6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residency.strict</w:t>
            </w:r>
          </w:p>
        </w:tc>
        <w:tc>
          <w:tcPr>
            <w:tcW w:type="dxa" w:w="6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cross-region data flow; LLM must be in-region or self-hosted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retention.extended</w:t>
            </w:r>
          </w:p>
        </w:tc>
        <w:tc>
          <w:tcPr>
            <w:tcW w:type="dxa" w:w="6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 retention 7–10 years; archive in WORM storage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llm.self_hosted_only</w:t>
            </w:r>
          </w:p>
        </w:tc>
        <w:tc>
          <w:tcPr>
            <w:tcW w:type="dxa" w:w="6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Disables external LLM endpoints (TS-13)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agents.max_tier</w:t>
            </w:r>
          </w:p>
        </w:tc>
        <w:tc>
          <w:tcPr>
            <w:tcW w:type="dxa" w:w="6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Caps autonomous tier (e.g. Tier 1 only) regardless of phase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evidence.export</w:t>
            </w:r>
          </w:p>
        </w:tc>
        <w:tc>
          <w:tcPr>
            <w:tcW w:type="dxa" w:w="6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Monthly signed evidence pack (control status, sampled audit records, model reports) for regulators/auditors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incident.regulatory_reporting</w:t>
            </w:r>
          </w:p>
        </w:tc>
        <w:tc>
          <w:tcPr>
            <w:tcW w:type="dxa" w:w="6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Adds regulatory notification timers and templates to P1 workflow (content human-approved)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Governance Reporting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2099"/>
        <w:gridCol w:w="3713"/>
        <w:gridCol w:w="1312"/>
      </w:tblGrid>
      <w:tr>
        <w:trPr>
          <w:cantSplit/>
          <w:tblHeader/>
        </w:trPr>
        <w:tc>
          <w:tcPr>
            <w:tcW w:type="dxa" w:w="25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20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1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performance &amp; bias</w:t>
            </w:r>
          </w:p>
        </w:tc>
        <w:tc>
          <w:tcPr>
            <w:tcW w:type="dxa" w:w="20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Governance Committee</w:t>
            </w:r>
          </w:p>
        </w:tc>
        <w:tc>
          <w:tcPr>
            <w:tcW w:type="dxa" w:w="3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F1/precision/recall overall and by slice, drift, promotions, rollbacks</w:t>
            </w:r>
          </w:p>
        </w:tc>
        <w:tc>
          <w:tcPr>
            <w:tcW w:type="dxa" w:w="1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Suppression &amp; threshold changes</w:t>
            </w:r>
          </w:p>
        </w:tc>
        <w:tc>
          <w:tcPr>
            <w:tcW w:type="dxa" w:w="20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Policy owner</w:t>
            </w:r>
          </w:p>
        </w:tc>
        <w:tc>
          <w:tcPr>
            <w:tcW w:type="dxa" w:w="3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Rules created/retired, autonomous threshold movements vs. ±0.15 gate</w:t>
            </w:r>
          </w:p>
        </w:tc>
        <w:tc>
          <w:tcPr>
            <w:tcW w:type="dxa" w:w="1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Weekly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activity &amp; guardrail events</w:t>
            </w:r>
          </w:p>
        </w:tc>
        <w:tc>
          <w:tcPr>
            <w:tcW w:type="dxa" w:w="20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 governance</w:t>
            </w:r>
          </w:p>
        </w:tc>
        <w:tc>
          <w:tcPr>
            <w:tcW w:type="dxa" w:w="3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Actions by tier, approvals, rejections, circuit-breaker trips, overrides</w:t>
            </w:r>
          </w:p>
        </w:tc>
        <w:tc>
          <w:tcPr>
            <w:tcW w:type="dxa" w:w="1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Weekly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KPI/KRI dashboard</w:t>
            </w:r>
          </w:p>
        </w:tc>
        <w:tc>
          <w:tcPr>
            <w:tcW w:type="dxa" w:w="20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Technology leadership</w:t>
            </w:r>
          </w:p>
        </w:tc>
        <w:tc>
          <w:tcPr>
            <w:tcW w:type="dxa" w:w="3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TS-17 metrics</w:t>
            </w:r>
          </w:p>
        </w:tc>
        <w:tc>
          <w:tcPr>
            <w:tcW w:type="dxa" w:w="1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risk register</w:t>
            </w:r>
          </w:p>
        </w:tc>
        <w:tc>
          <w:tcPr>
            <w:tcW w:type="dxa" w:w="20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Committee, audit</w:t>
            </w:r>
          </w:p>
        </w:tc>
        <w:tc>
          <w:tcPr>
            <w:tcW w:type="dxa" w:w="37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Risks, owners, mitigations, status</w:t>
            </w:r>
          </w:p>
        </w:tc>
        <w:tc>
          <w:tcPr>
            <w:tcW w:type="dxa" w:w="1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5"/>
        <w:gridCol w:w="7453"/>
      </w:tblGrid>
      <w:tr>
        <w:trPr>
          <w:cantSplit/>
          <w:tblHeader/>
        </w:trPr>
        <w:tc>
          <w:tcPr>
            <w:tcW w:type="dxa" w:w="2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TS10-AC-001</w:t>
            </w:r>
          </w:p>
        </w:tc>
        <w:tc>
          <w:tcPr>
            <w:tcW w:type="dxa" w:w="7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Random sample of 100 detections fully reconstructed (features, model versions, decision, ITSM outcome) from audit in ≤ 60 s each</w:t>
            </w: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TS10-AC-002</w:t>
            </w:r>
          </w:p>
        </w:tc>
        <w:tc>
          <w:tcPr>
            <w:tcW w:type="dxa" w:w="7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Attempted update/delete on audit indices by any non-system role fails and is itself audited</w:t>
            </w: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TS10-AC-003</w:t>
            </w:r>
          </w:p>
        </w:tc>
        <w:tc>
          <w:tcPr>
            <w:tcW w:type="dxa" w:w="7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Hash-chain verification detects a deliberately altered record in test environment</w:t>
            </w: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TS10-AC-004</w:t>
            </w:r>
          </w:p>
        </w:tc>
        <w:tc>
          <w:tcPr>
            <w:tcW w:type="dxa" w:w="7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PII scan of training data and LLM prompt logs finds zero unredacted direct identifiers</w:t>
            </w: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TS10-AC-005</w:t>
            </w:r>
          </w:p>
        </w:tc>
        <w:tc>
          <w:tcPr>
            <w:tcW w:type="dxa" w:w="7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Monthly governance report generated with all sections populated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4"/>
        <w:gridCol w:w="8154"/>
      </w:tblGrid>
      <w:tr>
        <w:trPr>
          <w:cantSplit/>
          <w:tblHeader/>
        </w:trPr>
        <w:tc>
          <w:tcPr>
            <w:tcW w:type="dxa" w:w="14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1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4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81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Exact retention values depend on the organisation's records policy; defaults above are minimums from the white paper</w:t>
            </w:r>
          </w:p>
        </w:tc>
      </w:tr>
      <w:tr>
        <w:trPr>
          <w:cantSplit/>
          <w:tblHeader w:val="false"/>
        </w:trPr>
        <w:tc>
          <w:tcPr>
            <w:tcW w:type="dxa" w:w="14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OI-02</w:t>
            </w:r>
          </w:p>
        </w:tc>
        <w:tc>
          <w:tcPr>
            <w:tcW w:type="dxa" w:w="81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Whether analyst identities in labels are pseudonymised or retained for accountability (default: pseudonymised in training data, real identity in audit)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TS-10 · Governance, Risk and Compliance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TS-10 Governance, Risk and Compliance</dc:title>
  <dc:creator>Sakul Gupta</dc:creator>
  <cp:lastModifiedBy>Un-named</cp:lastModifiedBy>
  <cp:revision>1</cp:revision>
  <dcterms:created xsi:type="dcterms:W3CDTF">2026-10-14T09:35:31.029Z</dcterms:created>
  <dcterms:modified xsi:type="dcterms:W3CDTF">2026-10-14T09:35:31.029Z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