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2E75B6"/>
          <w:spacing w:val="40"/>
          <w:sz w:val="22"/>
          <w:szCs w:val="22"/>
        </w:rPr>
        <w:t xml:space="preserve">TECHNICAL SPECIFICATION</w:t>
      </w:r>
    </w:p>
    <w:p>
      <w:pPr>
        <w:spacing w:after="80"/>
      </w:pPr>
      <w:r>
        <w:rPr>
          <w:b/>
          <w:bCs/>
          <w:color w:val="595959"/>
          <w:sz w:val="32"/>
          <w:szCs w:val="32"/>
        </w:rPr>
        <w:t xml:space="preserve">TS-11</w:t>
      </w:r>
    </w:p>
    <w:p>
      <w:pPr>
        <w:spacing w:after="240"/>
      </w:pPr>
      <w:r>
        <w:rPr>
          <w:b/>
          <w:bCs/>
          <w:color w:val="1F3A5F"/>
          <w:sz w:val="48"/>
          <w:szCs w:val="48"/>
        </w:rPr>
        <w:t xml:space="preserve">Autonomous Self-Management and Self-Correction</w:t>
      </w:r>
    </w:p>
    <w:p>
      <w:pPr>
        <w:pBdr>
          <w:bottom w:val="single" w:color="2E75B6" w:sz="12" w:space="4"/>
        </w:pBdr>
        <w:spacing w:after="240"/>
      </w:pPr>
    </w:p>
    <w:p>
      <w:pPr>
        <w:spacing w:after="360"/>
      </w:pPr>
      <w:r>
        <w:rPr>
          <w:i/>
          <w:iCs/>
          <w:color w:val="595959"/>
          <w:sz w:val="22"/>
          <w:szCs w:val="22"/>
        </w:rPr>
        <w:t xml:space="preserve">How the solution monitors and heals itself — health probes, GitOps drift correction, data-quality enforcement, dependency resilience — and how it corrects its own output through feedback-driven label updates, bounded threshold recalibration and the suppression-rule lifecycle, with KRI instrumentation.</w:t>
      </w:r>
    </w:p>
    <w:p>
      <w:pPr>
        <w:spacing w:after="120"/>
      </w:pPr>
      <w:r>
        <w:rPr>
          <w:b/>
          <w:bCs/>
          <w:color w:val="1F3A5F"/>
          <w:sz w:val="20"/>
          <w:szCs w:val="20"/>
        </w:rPr>
        <w:t xml:space="preserve">Proactive Infrastructure Disruption Detection &amp; Automated Incident Response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87"/>
        <w:gridCol w:w="6151"/>
      </w:tblGrid>
      <w:tr>
        <w:trPr>
          <w:cantSplit/>
          <w:tblHeader/>
        </w:trPr>
        <w:tc>
          <w:tcPr>
            <w:tcW w:type="dxa" w:w="3487"/>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Field</w:t>
            </w:r>
          </w:p>
        </w:tc>
        <w:tc>
          <w:tcPr>
            <w:tcW w:type="dxa" w:w="6151"/>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Value</w:t>
            </w:r>
          </w:p>
        </w:tc>
      </w:tr>
      <w:tr>
        <w:trPr>
          <w:cantSplit/>
          <w:tblHeader w:val="false"/>
        </w:trPr>
        <w:tc>
          <w:tcPr>
            <w:tcW w:type="dxa" w:w="3487"/>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Specification ID</w:t>
            </w:r>
          </w:p>
        </w:tc>
        <w:tc>
          <w:tcPr>
            <w:tcW w:type="dxa" w:w="6151"/>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TS-11</w:t>
            </w:r>
          </w:p>
        </w:tc>
      </w:tr>
      <w:tr>
        <w:trPr>
          <w:cantSplit/>
          <w:tblHeader w:val="false"/>
        </w:trPr>
        <w:tc>
          <w:tcPr>
            <w:tcW w:type="dxa" w:w="3487"/>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Version / Status</w:t>
            </w:r>
          </w:p>
        </w:tc>
        <w:tc>
          <w:tcPr>
            <w:tcW w:type="dxa" w:w="6151"/>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1.0 / Draft for architecture review</w:t>
            </w:r>
          </w:p>
        </w:tc>
      </w:tr>
      <w:tr>
        <w:trPr>
          <w:cantSplit/>
          <w:tblHeader w:val="false"/>
        </w:trPr>
        <w:tc>
          <w:tcPr>
            <w:tcW w:type="dxa" w:w="3487"/>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Date</w:t>
            </w:r>
          </w:p>
        </w:tc>
        <w:tc>
          <w:tcPr>
            <w:tcW w:type="dxa" w:w="6151"/>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14 October 2026</w:t>
            </w:r>
          </w:p>
        </w:tc>
      </w:tr>
      <w:tr>
        <w:trPr>
          <w:cantSplit/>
          <w:tblHeader w:val="false"/>
        </w:trPr>
        <w:tc>
          <w:tcPr>
            <w:tcW w:type="dxa" w:w="3487"/>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Author</w:t>
            </w:r>
          </w:p>
        </w:tc>
        <w:tc>
          <w:tcPr>
            <w:tcW w:type="dxa" w:w="6151"/>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Sakul Gupta</w:t>
            </w:r>
          </w:p>
        </w:tc>
      </w:tr>
      <w:tr>
        <w:trPr>
          <w:cantSplit/>
          <w:tblHeader w:val="false"/>
        </w:trPr>
        <w:tc>
          <w:tcPr>
            <w:tcW w:type="dxa" w:w="3487"/>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Source white paper sections</w:t>
            </w:r>
          </w:p>
        </w:tc>
        <w:tc>
          <w:tcPr>
            <w:tcW w:type="dxa" w:w="6151"/>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13A Auto Self-Management · 13B Auto Self-Correction · 11 (Key Risk Indicators)</w:t>
            </w:r>
          </w:p>
        </w:tc>
      </w:tr>
      <w:tr>
        <w:trPr>
          <w:cantSplit/>
          <w:tblHeader w:val="false"/>
        </w:trPr>
        <w:tc>
          <w:tcPr>
            <w:tcW w:type="dxa" w:w="3487"/>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Depends on</w:t>
            </w:r>
          </w:p>
        </w:tc>
        <w:tc>
          <w:tcPr>
            <w:tcW w:type="dxa" w:w="6151"/>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TS-03, TS-06, TS-07, TS-08, TS-10</w:t>
            </w:r>
          </w:p>
        </w:tc>
      </w:tr>
      <w:tr>
        <w:trPr>
          <w:cantSplit/>
          <w:tblHeader w:val="false"/>
        </w:trPr>
        <w:tc>
          <w:tcPr>
            <w:tcW w:type="dxa" w:w="3487"/>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Deployment context</w:t>
            </w:r>
          </w:p>
        </w:tc>
        <w:tc>
          <w:tcPr>
            <w:tcW w:type="dxa" w:w="6151"/>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Industry-neutral; regulated-industry controls exposed as configuration</w:t>
            </w:r>
          </w:p>
        </w:tc>
      </w:tr>
      <w:tr>
        <w:trPr>
          <w:cantSplit/>
          <w:tblHeader w:val="false"/>
        </w:trPr>
        <w:tc>
          <w:tcPr>
            <w:tcW w:type="dxa" w:w="3487"/>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Document structure</w:t>
            </w:r>
          </w:p>
        </w:tc>
        <w:tc>
          <w:tcPr>
            <w:tcW w:type="dxa" w:w="6151"/>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Part A — Design-level specification · Part B — Low-level (build-ready) specification</w:t>
            </w:r>
          </w:p>
        </w:tc>
      </w:tr>
    </w:tbl>
    <w:p>
      <w:r>
        <w:br w:type="page"/>
      </w:r>
    </w:p>
    <w:p>
      <w:pPr>
        <w:pStyle w:val="Heading1"/>
      </w:pPr>
      <w:r>
        <w:t xml:space="preserve">Contents</w:t>
      </w:r>
    </w:p>
    <w:p>
      <w:pPr>
        <w:spacing w:after="20" w:before="200"/>
      </w:pPr>
      <w:r>
        <w:rPr>
          <w:b/>
          <w:bCs/>
          <w:color w:val="1F3A5F"/>
          <w:sz w:val="20"/>
          <w:szCs w:val="20"/>
        </w:rPr>
        <w:t xml:space="preserve">PART A — DESIGN-LEVEL SPECIFICATION</w:t>
      </w:r>
    </w:p>
    <w:p>
      <w:pPr>
        <w:spacing w:after="20" w:before="60"/>
      </w:pPr>
      <w:r>
        <w:rPr>
          <w:b w:val="false"/>
          <w:bCs w:val="false"/>
          <w:color w:val="1F2937"/>
          <w:sz w:val="19"/>
          <w:szCs w:val="19"/>
        </w:rPr>
        <w:t xml:space="preserve">1. Purpose and Scope</w:t>
      </w:r>
    </w:p>
    <w:p>
      <w:pPr>
        <w:spacing w:after="20" w:before="60"/>
      </w:pPr>
      <w:r>
        <w:rPr>
          <w:b w:val="false"/>
          <w:bCs w:val="false"/>
          <w:color w:val="1F2937"/>
          <w:sz w:val="19"/>
          <w:szCs w:val="19"/>
        </w:rPr>
        <w:t xml:space="preserve">2. Self-Management Domains</w:t>
      </w:r>
    </w:p>
    <w:p>
      <w:pPr>
        <w:spacing w:after="20" w:before="60"/>
      </w:pPr>
      <w:r>
        <w:rPr>
          <w:b w:val="false"/>
          <w:bCs w:val="false"/>
          <w:color w:val="1F2937"/>
          <w:sz w:val="19"/>
          <w:szCs w:val="19"/>
        </w:rPr>
        <w:t xml:space="preserve">3. Self-Correction Loops</w:t>
      </w:r>
    </w:p>
    <w:p>
      <w:pPr>
        <w:spacing w:after="20" w:before="60"/>
      </w:pPr>
      <w:r>
        <w:rPr>
          <w:b w:val="false"/>
          <w:bCs w:val="false"/>
          <w:color w:val="1F2937"/>
          <w:sz w:val="19"/>
          <w:szCs w:val="19"/>
        </w:rPr>
        <w:t xml:space="preserve">4. Key Design Decisions</w:t>
      </w:r>
    </w:p>
    <w:p>
      <w:pPr>
        <w:spacing w:after="20" w:before="60"/>
      </w:pPr>
      <w:r>
        <w:rPr>
          <w:b w:val="false"/>
          <w:bCs w:val="false"/>
          <w:color w:val="1F2937"/>
          <w:sz w:val="19"/>
          <w:szCs w:val="19"/>
        </w:rPr>
        <w:t xml:space="preserve">5. Non-Functional Requirements</w:t>
      </w:r>
    </w:p>
    <w:p>
      <w:pPr>
        <w:spacing w:after="20" w:before="200"/>
      </w:pPr>
      <w:r>
        <w:rPr>
          <w:b/>
          <w:bCs/>
          <w:color w:val="1F3A5F"/>
          <w:sz w:val="20"/>
          <w:szCs w:val="20"/>
        </w:rPr>
        <w:t xml:space="preserve">PART B — LOW-LEVEL SPECIFICATION</w:t>
      </w:r>
    </w:p>
    <w:p>
      <w:pPr>
        <w:spacing w:after="20" w:before="60"/>
      </w:pPr>
      <w:r>
        <w:rPr>
          <w:b w:val="false"/>
          <w:bCs w:val="false"/>
          <w:color w:val="1F2937"/>
          <w:sz w:val="19"/>
          <w:szCs w:val="19"/>
        </w:rPr>
        <w:t xml:space="preserve">6. Health Probes Contract</w:t>
      </w:r>
    </w:p>
    <w:p>
      <w:pPr>
        <w:spacing w:after="20" w:before="60"/>
      </w:pPr>
      <w:r>
        <w:rPr>
          <w:b w:val="false"/>
          <w:bCs w:val="false"/>
          <w:color w:val="1F2937"/>
          <w:sz w:val="19"/>
          <w:szCs w:val="19"/>
        </w:rPr>
        <w:t xml:space="preserve">7. GitOps Drift Correction</w:t>
      </w:r>
    </w:p>
    <w:p>
      <w:pPr>
        <w:spacing w:after="20" w:before="60"/>
      </w:pPr>
      <w:r>
        <w:rPr>
          <w:b w:val="false"/>
          <w:bCs w:val="false"/>
          <w:color w:val="1F2937"/>
          <w:sz w:val="19"/>
          <w:szCs w:val="19"/>
        </w:rPr>
        <w:t xml:space="preserve">8. KRI Instrumentation</w:t>
      </w:r>
    </w:p>
    <w:p>
      <w:pPr>
        <w:spacing w:after="20" w:before="60"/>
      </w:pPr>
      <w:r>
        <w:rPr>
          <w:b w:val="false"/>
          <w:bCs w:val="false"/>
          <w:color w:val="1F2937"/>
          <w:sz w:val="19"/>
          <w:szCs w:val="19"/>
        </w:rPr>
        <w:t xml:space="preserve">9. Feedback Processing</w:t>
      </w:r>
    </w:p>
    <w:p>
      <w:pPr>
        <w:spacing w:after="10"/>
        <w:ind w:left="360"/>
      </w:pPr>
      <w:r>
        <w:rPr>
          <w:color w:val="595959"/>
          <w:sz w:val="17"/>
          <w:szCs w:val="17"/>
        </w:rPr>
        <w:t xml:space="preserve">9.1 Label routing</w:t>
      </w:r>
    </w:p>
    <w:p>
      <w:pPr>
        <w:spacing w:after="10"/>
        <w:ind w:left="360"/>
      </w:pPr>
      <w:r>
        <w:rPr>
          <w:color w:val="595959"/>
          <w:sz w:val="17"/>
          <w:szCs w:val="17"/>
        </w:rPr>
        <w:t xml:space="preserve">9.2 Detection signature</w:t>
      </w:r>
    </w:p>
    <w:p>
      <w:pPr>
        <w:spacing w:after="10"/>
        <w:ind w:left="360"/>
      </w:pPr>
      <w:r>
        <w:rPr>
          <w:color w:val="595959"/>
          <w:sz w:val="17"/>
          <w:szCs w:val="17"/>
        </w:rPr>
        <w:t xml:space="preserve">9.3 Temporary model weight penalty</w:t>
      </w:r>
    </w:p>
    <w:p>
      <w:pPr>
        <w:spacing w:after="20" w:before="60"/>
      </w:pPr>
      <w:r>
        <w:rPr>
          <w:b w:val="false"/>
          <w:bCs w:val="false"/>
          <w:color w:val="1F2937"/>
          <w:sz w:val="19"/>
          <w:szCs w:val="19"/>
        </w:rPr>
        <w:t xml:space="preserve">10. Autonomous Threshold Recalibration</w:t>
      </w:r>
    </w:p>
    <w:p>
      <w:pPr>
        <w:spacing w:after="10"/>
        <w:ind w:left="360"/>
      </w:pPr>
      <w:r>
        <w:rPr>
          <w:color w:val="595959"/>
          <w:sz w:val="17"/>
          <w:szCs w:val="17"/>
        </w:rPr>
        <w:t xml:space="preserve">10.1 Triggers (rolling 7-day window per policy scope)</w:t>
      </w:r>
    </w:p>
    <w:p>
      <w:pPr>
        <w:spacing w:after="10"/>
        <w:ind w:left="360"/>
      </w:pPr>
      <w:r>
        <w:rPr>
          <w:color w:val="595959"/>
          <w:sz w:val="17"/>
          <w:szCs w:val="17"/>
        </w:rPr>
        <w:t xml:space="preserve">10.2 Algorithm</w:t>
      </w:r>
    </w:p>
    <w:p>
      <w:pPr>
        <w:spacing w:after="20" w:before="60"/>
      </w:pPr>
      <w:r>
        <w:rPr>
          <w:b w:val="false"/>
          <w:bCs w:val="false"/>
          <w:color w:val="1F2937"/>
          <w:sz w:val="19"/>
          <w:szCs w:val="19"/>
        </w:rPr>
        <w:t xml:space="preserve">11. Suppression Rule Lifecycle</w:t>
      </w:r>
    </w:p>
    <w:p>
      <w:pPr>
        <w:spacing w:after="20" w:before="60"/>
      </w:pPr>
      <w:r>
        <w:rPr>
          <w:b w:val="false"/>
          <w:bCs w:val="false"/>
          <w:color w:val="1F2937"/>
          <w:sz w:val="19"/>
          <w:szCs w:val="19"/>
        </w:rPr>
        <w:t xml:space="preserve">12. Data-Quality Self-Correction</w:t>
      </w:r>
    </w:p>
    <w:p>
      <w:pPr>
        <w:spacing w:after="20" w:before="60"/>
      </w:pPr>
      <w:r>
        <w:rPr>
          <w:b w:val="false"/>
          <w:bCs w:val="false"/>
          <w:color w:val="1F2937"/>
          <w:sz w:val="19"/>
          <w:szCs w:val="19"/>
        </w:rPr>
        <w:t xml:space="preserve">13. Self-Observability Dashboard (minimum panels)</w:t>
      </w:r>
    </w:p>
    <w:p>
      <w:pPr>
        <w:spacing w:after="20" w:before="60"/>
      </w:pPr>
      <w:r>
        <w:rPr>
          <w:b w:val="false"/>
          <w:bCs w:val="false"/>
          <w:color w:val="1F2937"/>
          <w:sz w:val="19"/>
          <w:szCs w:val="19"/>
        </w:rPr>
        <w:t xml:space="preserve">14. Security Controls</w:t>
      </w:r>
    </w:p>
    <w:p>
      <w:pPr>
        <w:spacing w:after="20" w:before="60"/>
      </w:pPr>
      <w:r>
        <w:rPr>
          <w:b w:val="false"/>
          <w:bCs w:val="false"/>
          <w:color w:val="1F2937"/>
          <w:sz w:val="19"/>
          <w:szCs w:val="19"/>
        </w:rPr>
        <w:t xml:space="preserve">15. Acceptance Criteria</w:t>
      </w:r>
    </w:p>
    <w:p>
      <w:pPr>
        <w:spacing w:after="20" w:before="60"/>
      </w:pPr>
      <w:r>
        <w:rPr>
          <w:b w:val="false"/>
          <w:bCs w:val="false"/>
          <w:color w:val="1F2937"/>
          <w:sz w:val="19"/>
          <w:szCs w:val="19"/>
        </w:rPr>
        <w:t xml:space="preserve">16. Assumptions and Open Issues</w:t>
      </w:r>
    </w:p>
    <w:p>
      <w:r>
        <w:br w:type="page"/>
      </w:r>
    </w:p>
    <w:p>
      <w:pPr>
        <w:pStyle w:val="Heading1"/>
        <w:pBdr>
          <w:left w:val="single" w:color="1F3A5F" w:sz="24" w:space="6"/>
        </w:pBdr>
        <w:shd w:fill="EAF1F8" w:color="auto" w:val="clear"/>
        <w:spacing w:after="200" w:before="480"/>
      </w:pPr>
      <w:r>
        <w:t xml:space="preserve">PART A — DESIGN-LEVEL SPECIFICATION</w:t>
      </w:r>
    </w:p>
    <w:p>
      <w:pPr>
        <w:pStyle w:val="Heading1"/>
      </w:pPr>
      <w:r>
        <w:t xml:space="preserve">1. Purpose and Scope</w:t>
      </w:r>
    </w:p>
    <w:p>
      <w:pPr>
        <w:spacing w:after="120"/>
      </w:pPr>
      <w:r>
        <w:t xml:space="preserve">Self-management keeps the solution healthy and configured as declared. Self-correction improves the quality of the solution's output from feedback, within hard bounds and human review gates. This specification also instruments the Key Risk Indicators (KRIs) that warn of degradation before KPIs move. Model retraining mechanics are in TS-06; this spec defines the triggers and feedback paths into it.</w:t>
      </w:r>
    </w:p>
    <w:p>
      <w:pPr>
        <w:pStyle w:val="Heading1"/>
      </w:pPr>
      <w:r>
        <w:t xml:space="preserve">2. Self-Management Domains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23"/>
        <w:gridCol w:w="3274"/>
        <w:gridCol w:w="2640"/>
        <w:gridCol w:w="2001"/>
      </w:tblGrid>
      <w:tr>
        <w:trPr>
          <w:cantSplit/>
          <w:tblHeader/>
        </w:trPr>
        <w:tc>
          <w:tcPr>
            <w:tcW w:type="dxa" w:w="1723"/>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Domain</w:t>
            </w:r>
          </w:p>
        </w:tc>
        <w:tc>
          <w:tcPr>
            <w:tcW w:type="dxa" w:w="3274"/>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Monitored</w:t>
            </w:r>
          </w:p>
        </w:tc>
        <w:tc>
          <w:tcPr>
            <w:tcW w:type="dxa" w:w="264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Autonomous action</w:t>
            </w:r>
          </w:p>
        </w:tc>
        <w:tc>
          <w:tcPr>
            <w:tcW w:type="dxa" w:w="2001"/>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Human gate</w:t>
            </w:r>
          </w:p>
        </w:tc>
      </w:tr>
      <w:tr>
        <w:trPr>
          <w:cantSplit/>
          <w:tblHeader w:val="false"/>
        </w:trPr>
        <w:tc>
          <w:tcPr>
            <w:tcW w:type="dxa" w:w="172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Component health</w:t>
            </w:r>
          </w:p>
        </w:tc>
        <w:tc>
          <w:tcPr>
            <w:tcW w:type="dxa" w:w="327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Liveness/readiness, consumer lag, checkpoint latency, Redis memory, inference queue</w:t>
            </w:r>
          </w:p>
        </w:tc>
        <w:tc>
          <w:tcPr>
            <w:tcW w:type="dxa" w:w="264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Pod restart, Flink restart from checkpoint, DLQ replay</w:t>
            </w:r>
          </w:p>
        </w:tc>
        <w:tc>
          <w:tcPr>
            <w:tcW w:type="dxa" w:w="2001"/>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None</w:t>
            </w:r>
          </w:p>
        </w:tc>
      </w:tr>
      <w:tr>
        <w:trPr>
          <w:cantSplit/>
          <w:tblHeader w:val="false"/>
        </w:trPr>
        <w:tc>
          <w:tcPr>
            <w:tcW w:type="dxa" w:w="1723"/>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Configuration drift</w:t>
            </w:r>
          </w:p>
        </w:tc>
        <w:tc>
          <w:tcPr>
            <w:tcW w:type="dxa" w:w="3274"/>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Live cluster vs. Git desired state</w:t>
            </w:r>
          </w:p>
        </w:tc>
        <w:tc>
          <w:tcPr>
            <w:tcW w:type="dxa" w:w="2640"/>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Argo CD auto-sync of non-destructive diffs</w:t>
            </w:r>
          </w:p>
        </w:tc>
        <w:tc>
          <w:tcPr>
            <w:tcW w:type="dxa" w:w="2001"/>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Destructive changes (deletions)</w:t>
            </w:r>
          </w:p>
        </w:tc>
      </w:tr>
      <w:tr>
        <w:trPr>
          <w:cantSplit/>
          <w:tblHeader w:val="false"/>
        </w:trPr>
        <w:tc>
          <w:tcPr>
            <w:tcW w:type="dxa" w:w="172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Model lifecycle</w:t>
            </w:r>
          </w:p>
        </w:tc>
        <w:tc>
          <w:tcPr>
            <w:tcW w:type="dxa" w:w="327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Hourly F1/precision/recall; daily PSI/KS</w:t>
            </w:r>
          </w:p>
        </w:tc>
        <w:tc>
          <w:tcPr>
            <w:tcW w:type="dxa" w:w="264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Retrain, shadow, promote, rollback (TS-06)</w:t>
            </w:r>
          </w:p>
        </w:tc>
        <w:tc>
          <w:tcPr>
            <w:tcW w:type="dxa" w:w="2001"/>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Major versions</w:t>
            </w:r>
          </w:p>
        </w:tc>
      </w:tr>
      <w:tr>
        <w:trPr>
          <w:cantSplit/>
          <w:tblHeader w:val="false"/>
        </w:trPr>
        <w:tc>
          <w:tcPr>
            <w:tcW w:type="dxa" w:w="1723"/>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Pipeline throughput</w:t>
            </w:r>
          </w:p>
        </w:tc>
        <w:tc>
          <w:tcPr>
            <w:tcW w:type="dxa" w:w="3274"/>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End-to-end latency, lag, checkpoint duration, store write latency</w:t>
            </w:r>
          </w:p>
        </w:tc>
        <w:tc>
          <w:tcPr>
            <w:tcW w:type="dxa" w:w="2640"/>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Parallelism and partition rebalancing (TS-12)</w:t>
            </w:r>
          </w:p>
        </w:tc>
        <w:tc>
          <w:tcPr>
            <w:tcW w:type="dxa" w:w="2001"/>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Scaling beyond max bounds</w:t>
            </w:r>
          </w:p>
        </w:tc>
      </w:tr>
      <w:tr>
        <w:trPr>
          <w:cantSplit/>
          <w:tblHeader w:val="false"/>
        </w:trPr>
        <w:tc>
          <w:tcPr>
            <w:tcW w:type="dxa" w:w="172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Data quality</w:t>
            </w:r>
          </w:p>
        </w:tc>
        <w:tc>
          <w:tcPr>
            <w:tcW w:type="dxa" w:w="327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Schema failure, null, duplicate and skew rates per source</w:t>
            </w:r>
          </w:p>
        </w:tc>
        <w:tc>
          <w:tcPr>
            <w:tcW w:type="dxa" w:w="264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Quarantine, rate-limit, alert owners</w:t>
            </w:r>
          </w:p>
        </w:tc>
        <w:tc>
          <w:tcPr>
            <w:tcW w:type="dxa" w:w="2001"/>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Source disablement</w:t>
            </w:r>
          </w:p>
        </w:tc>
      </w:tr>
      <w:tr>
        <w:trPr>
          <w:cantSplit/>
          <w:tblHeader w:val="false"/>
        </w:trPr>
        <w:tc>
          <w:tcPr>
            <w:tcW w:type="dxa" w:w="1723"/>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Dependency availability</w:t>
            </w:r>
          </w:p>
        </w:tc>
        <w:tc>
          <w:tcPr>
            <w:tcW w:type="dxa" w:w="3274"/>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ITSM, TI feeds, CMDB, IdP, LLM</w:t>
            </w:r>
          </w:p>
        </w:tc>
        <w:tc>
          <w:tcPr>
            <w:tcW w:type="dxa" w:w="2640"/>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Circuit breakers, cached fallback, queued replay</w:t>
            </w:r>
          </w:p>
        </w:tc>
        <w:tc>
          <w:tcPr>
            <w:tcW w:type="dxa" w:w="2001"/>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None</w:t>
            </w:r>
          </w:p>
        </w:tc>
      </w:tr>
    </w:tbl>
    <w:p>
      <w:pPr>
        <w:spacing w:after="80"/>
      </w:pPr>
    </w:p>
    <w:p>
      <w:pPr>
        <w:pStyle w:val="Heading1"/>
      </w:pPr>
      <w:r>
        <w:t xml:space="preserve">3. Self-Correction Loops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7"/>
        <w:gridCol w:w="1753"/>
        <w:gridCol w:w="2456"/>
        <w:gridCol w:w="2479"/>
        <w:gridCol w:w="1903"/>
      </w:tblGrid>
      <w:tr>
        <w:trPr>
          <w:cantSplit/>
          <w:tblHeader/>
        </w:trPr>
        <w:tc>
          <w:tcPr>
            <w:tcW w:type="dxa" w:w="1047"/>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Loop</w:t>
            </w:r>
          </w:p>
        </w:tc>
        <w:tc>
          <w:tcPr>
            <w:tcW w:type="dxa" w:w="1753"/>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Signal</w:t>
            </w:r>
          </w:p>
        </w:tc>
        <w:tc>
          <w:tcPr>
            <w:tcW w:type="dxa" w:w="2456"/>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Immediate correction</w:t>
            </w:r>
          </w:p>
        </w:tc>
        <w:tc>
          <w:tcPr>
            <w:tcW w:type="dxa" w:w="2479"/>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Longer-term learning</w:t>
            </w:r>
          </w:p>
        </w:tc>
        <w:tc>
          <w:tcPr>
            <w:tcW w:type="dxa" w:w="1903"/>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Bound / gate</w:t>
            </w:r>
          </w:p>
        </w:tc>
      </w:tr>
      <w:tr>
        <w:trPr>
          <w:cantSplit/>
          <w:tblHeader w:val="false"/>
        </w:trPr>
        <w:tc>
          <w:tcPr>
            <w:tcW w:type="dxa" w:w="1047"/>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L-FP</w:t>
            </w:r>
          </w:p>
        </w:tc>
        <w:tc>
          <w:tcPr>
            <w:tcW w:type="dxa" w:w="175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Analyst marks false positive</w:t>
            </w:r>
          </w:p>
        </w:tc>
        <w:tc>
          <w:tcPr>
            <w:tcW w:type="dxa" w:w="245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Negative label; draft suppression rule if pattern ≥ 3</w:t>
            </w:r>
          </w:p>
        </w:tc>
        <w:tc>
          <w:tcPr>
            <w:tcW w:type="dxa" w:w="247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Retrain; temporary weight reduction for triggering model</w:t>
            </w:r>
          </w:p>
        </w:tc>
        <w:tc>
          <w:tcPr>
            <w:tcW w:type="dxa" w:w="190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Rule activation needs approval</w:t>
            </w:r>
          </w:p>
        </w:tc>
      </w:tr>
      <w:tr>
        <w:trPr>
          <w:cantSplit/>
          <w:tblHeader w:val="false"/>
        </w:trPr>
        <w:tc>
          <w:tcPr>
            <w:tcW w:type="dxa" w:w="1047"/>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L-SEV-DOWN</w:t>
            </w:r>
          </w:p>
        </w:tc>
        <w:tc>
          <w:tcPr>
            <w:tcW w:type="dxa" w:w="1753"/>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Severity downgraded</w:t>
            </w:r>
          </w:p>
        </w:tc>
        <w:tc>
          <w:tcPr>
            <w:tcW w:type="dxa" w:w="2456"/>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Severity threshold for pattern nudged down-sensitivity</w:t>
            </w:r>
          </w:p>
        </w:tc>
        <w:tc>
          <w:tcPr>
            <w:tcW w:type="dxa" w:w="2479"/>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Monthly severity calibration</w:t>
            </w:r>
          </w:p>
        </w:tc>
        <w:tc>
          <w:tcPr>
            <w:tcW w:type="dxa" w:w="1903"/>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±0.05 per cycle; ±0.15 cumulative</w:t>
            </w:r>
          </w:p>
        </w:tc>
      </w:tr>
      <w:tr>
        <w:trPr>
          <w:cantSplit/>
          <w:tblHeader w:val="false"/>
        </w:trPr>
        <w:tc>
          <w:tcPr>
            <w:tcW w:type="dxa" w:w="1047"/>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L-SEV-UP</w:t>
            </w:r>
          </w:p>
        </w:tc>
        <w:tc>
          <w:tcPr>
            <w:tcW w:type="dxa" w:w="175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Severity upgraded</w:t>
            </w:r>
          </w:p>
        </w:tc>
        <w:tc>
          <w:tcPr>
            <w:tcW w:type="dxa" w:w="245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Pattern flagged under-scored; tighten</w:t>
            </w:r>
          </w:p>
        </w:tc>
        <w:tc>
          <w:tcPr>
            <w:tcW w:type="dxa" w:w="247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Sensitivity increased on retrain</w:t>
            </w:r>
          </w:p>
        </w:tc>
        <w:tc>
          <w:tcPr>
            <w:tcW w:type="dxa" w:w="190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Same bounds</w:t>
            </w:r>
          </w:p>
        </w:tc>
      </w:tr>
      <w:tr>
        <w:trPr>
          <w:cantSplit/>
          <w:tblHeader w:val="false"/>
        </w:trPr>
        <w:tc>
          <w:tcPr>
            <w:tcW w:type="dxa" w:w="1047"/>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L-RC-OK</w:t>
            </w:r>
          </w:p>
        </w:tc>
        <w:tc>
          <w:tcPr>
            <w:tcW w:type="dxa" w:w="1753"/>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Root cause confirmed</w:t>
            </w:r>
          </w:p>
        </w:tc>
        <w:tc>
          <w:tcPr>
            <w:tcW w:type="dxa" w:w="2456"/>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Reinforce precursor pattern in Transformer training set</w:t>
            </w:r>
          </w:p>
        </w:tc>
        <w:tc>
          <w:tcPr>
            <w:tcW w:type="dxa" w:w="2479"/>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Strengthen runbook association</w:t>
            </w:r>
          </w:p>
        </w:tc>
        <w:tc>
          <w:tcPr>
            <w:tcW w:type="dxa" w:w="1903"/>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w:t>
            </w:r>
          </w:p>
        </w:tc>
      </w:tr>
      <w:tr>
        <w:trPr>
          <w:cantSplit/>
          <w:tblHeader w:val="false"/>
        </w:trPr>
        <w:tc>
          <w:tcPr>
            <w:tcW w:type="dxa" w:w="1047"/>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L-RC-FIX</w:t>
            </w:r>
          </w:p>
        </w:tc>
        <w:tc>
          <w:tcPr>
            <w:tcW w:type="dxa" w:w="175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Root cause corrected</w:t>
            </w:r>
          </w:p>
        </w:tc>
        <w:tc>
          <w:tcPr>
            <w:tcW w:type="dxa" w:w="245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Negative example for wrong hypothesis</w:t>
            </w:r>
          </w:p>
        </w:tc>
        <w:tc>
          <w:tcPr>
            <w:tcW w:type="dxa" w:w="247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Correlation weights updated</w:t>
            </w:r>
          </w:p>
        </w:tc>
        <w:tc>
          <w:tcPr>
            <w:tcW w:type="dxa" w:w="190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w:t>
            </w:r>
          </w:p>
        </w:tc>
      </w:tr>
      <w:tr>
        <w:trPr>
          <w:cantSplit/>
          <w:tblHeader w:val="false"/>
        </w:trPr>
        <w:tc>
          <w:tcPr>
            <w:tcW w:type="dxa" w:w="1047"/>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L-NOTES</w:t>
            </w:r>
          </w:p>
        </w:tc>
        <w:tc>
          <w:tcPr>
            <w:tcW w:type="dxa" w:w="1753"/>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Resolution notes</w:t>
            </w:r>
          </w:p>
        </w:tc>
        <w:tc>
          <w:tcPr>
            <w:tcW w:type="dxa" w:w="2456"/>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NLP extracts steps; runbook gap detection</w:t>
            </w:r>
          </w:p>
        </w:tc>
        <w:tc>
          <w:tcPr>
            <w:tcW w:type="dxa" w:w="2479"/>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Runbook proposals queued</w:t>
            </w:r>
          </w:p>
        </w:tc>
        <w:tc>
          <w:tcPr>
            <w:tcW w:type="dxa" w:w="1903"/>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Human review of runbooks</w:t>
            </w:r>
          </w:p>
        </w:tc>
      </w:tr>
    </w:tbl>
    <w:p>
      <w:pPr>
        <w:spacing w:after="80"/>
      </w:pPr>
    </w:p>
    <w:p>
      <w:pPr>
        <w:pStyle w:val="Heading1"/>
      </w:pPr>
      <w:r>
        <w:t xml:space="preserve">4. Key Design Decisions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05"/>
        <w:gridCol w:w="4533"/>
      </w:tblGrid>
      <w:tr>
        <w:trPr>
          <w:cantSplit/>
          <w:tblHeader/>
        </w:trPr>
        <w:tc>
          <w:tcPr>
            <w:tcW w:type="dxa" w:w="5105"/>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Decision</w:t>
            </w:r>
          </w:p>
        </w:tc>
        <w:tc>
          <w:tcPr>
            <w:tcW w:type="dxa" w:w="4533"/>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Rationale</w:t>
            </w:r>
          </w:p>
        </w:tc>
      </w:tr>
      <w:tr>
        <w:trPr>
          <w:cantSplit/>
          <w:tblHeader w:val="false"/>
        </w:trPr>
        <w:tc>
          <w:tcPr>
            <w:tcW w:type="dxa" w:w="510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All self-corrections are bounded per cycle and cumulatively</w:t>
            </w:r>
          </w:p>
        </w:tc>
        <w:tc>
          <w:tcPr>
            <w:tcW w:type="dxa" w:w="453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Prevents runaway sensitivity changes from noisy feedback</w:t>
            </w:r>
          </w:p>
        </w:tc>
      </w:tr>
      <w:tr>
        <w:trPr>
          <w:cantSplit/>
          <w:tblHeader w:val="false"/>
        </w:trPr>
        <w:tc>
          <w:tcPr>
            <w:tcW w:type="dxa" w:w="5105"/>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Human review gate at ±0.15 cumulative drift from last reviewed baseline</w:t>
            </w:r>
          </w:p>
        </w:tc>
        <w:tc>
          <w:tcPr>
            <w:tcW w:type="dxa" w:w="4533"/>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Keeps humans in charge of policy direction</w:t>
            </w:r>
          </w:p>
        </w:tc>
      </w:tr>
      <w:tr>
        <w:trPr>
          <w:cantSplit/>
          <w:tblHeader w:val="false"/>
        </w:trPr>
        <w:tc>
          <w:tcPr>
            <w:tcW w:type="dxa" w:w="510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Suppression rules always proposed, never self-activated</w:t>
            </w:r>
          </w:p>
        </w:tc>
        <w:tc>
          <w:tcPr>
            <w:tcW w:type="dxa" w:w="453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A wrong suppression silently hides real incidents</w:t>
            </w:r>
          </w:p>
        </w:tc>
      </w:tr>
      <w:tr>
        <w:trPr>
          <w:cantSplit/>
          <w:tblHeader w:val="false"/>
        </w:trPr>
        <w:tc>
          <w:tcPr>
            <w:tcW w:type="dxa" w:w="5105"/>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Self-monitoring has an external dead-man's-switch</w:t>
            </w:r>
          </w:p>
        </w:tc>
        <w:tc>
          <w:tcPr>
            <w:tcW w:type="dxa" w:w="4533"/>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The system cannot be the only witness to its own failure</w:t>
            </w:r>
          </w:p>
        </w:tc>
      </w:tr>
    </w:tbl>
    <w:p>
      <w:pPr>
        <w:spacing w:after="80"/>
      </w:pPr>
    </w:p>
    <w:p>
      <w:pPr>
        <w:pStyle w:val="Heading1"/>
      </w:pPr>
      <w:r>
        <w:t xml:space="preserve">5. Non-Functional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8"/>
        <w:gridCol w:w="7070"/>
      </w:tblGrid>
      <w:tr>
        <w:trPr>
          <w:cantSplit/>
          <w:tblHeader/>
        </w:trPr>
        <w:tc>
          <w:tcPr>
            <w:tcW w:type="dxa" w:w="2568"/>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ID</w:t>
            </w:r>
          </w:p>
        </w:tc>
        <w:tc>
          <w:tcPr>
            <w:tcW w:type="dxa" w:w="707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Requirement</w:t>
            </w:r>
          </w:p>
        </w:tc>
      </w:tr>
      <w:tr>
        <w:trPr>
          <w:cantSplit/>
          <w:tblHeader w:val="false"/>
        </w:trPr>
        <w:tc>
          <w:tcPr>
            <w:tcW w:type="dxa" w:w="256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TS11-NFR-001</w:t>
            </w:r>
          </w:p>
        </w:tc>
        <w:tc>
          <w:tcPr>
            <w:tcW w:type="dxa" w:w="707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Drift between Git and cluster reconciled ≤ 3 min (polling) or ≤ 30 s (webhook)</w:t>
            </w:r>
          </w:p>
        </w:tc>
      </w:tr>
      <w:tr>
        <w:trPr>
          <w:cantSplit/>
          <w:tblHeader w:val="false"/>
        </w:trPr>
        <w:tc>
          <w:tcPr>
            <w:tcW w:type="dxa" w:w="2568"/>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TS11-NFR-002</w:t>
            </w:r>
          </w:p>
        </w:tc>
        <w:tc>
          <w:tcPr>
            <w:tcW w:type="dxa" w:w="7070"/>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Feedback label → effect on suppression proposal ≤ 15 min; → training label next daily cycle</w:t>
            </w:r>
          </w:p>
        </w:tc>
      </w:tr>
      <w:tr>
        <w:trPr>
          <w:cantSplit/>
          <w:tblHeader w:val="false"/>
        </w:trPr>
        <w:tc>
          <w:tcPr>
            <w:tcW w:type="dxa" w:w="256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TS11-NFR-003</w:t>
            </w:r>
          </w:p>
        </w:tc>
        <w:tc>
          <w:tcPr>
            <w:tcW w:type="dxa" w:w="707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KRIs evaluated at least every 1 min (streaming KRIs) or daily (batch KRIs)</w:t>
            </w:r>
          </w:p>
        </w:tc>
      </w:tr>
    </w:tbl>
    <w:p>
      <w:pPr>
        <w:spacing w:after="80"/>
      </w:pPr>
    </w:p>
    <w:p>
      <w:pPr>
        <w:pStyle w:val="Heading1"/>
        <w:pBdr>
          <w:left w:val="single" w:color="1F3A5F" w:sz="24" w:space="6"/>
        </w:pBdr>
        <w:shd w:fill="EAF1F8" w:color="auto" w:val="clear"/>
        <w:spacing w:after="200" w:before="480"/>
      </w:pPr>
      <w:r>
        <w:t xml:space="preserve">PART B — LOW-LEVEL SPECIFICATION</w:t>
      </w:r>
    </w:p>
    <w:p>
      <w:pPr>
        <w:pStyle w:val="Heading1"/>
      </w:pPr>
      <w:r>
        <w:t xml:space="preserve">6. Health Probes Contract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1"/>
        <w:gridCol w:w="4726"/>
        <w:gridCol w:w="3151"/>
      </w:tblGrid>
      <w:tr>
        <w:trPr>
          <w:cantSplit/>
          <w:tblHeader/>
        </w:trPr>
        <w:tc>
          <w:tcPr>
            <w:tcW w:type="dxa" w:w="1761"/>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Endpoint</w:t>
            </w:r>
          </w:p>
        </w:tc>
        <w:tc>
          <w:tcPr>
            <w:tcW w:type="dxa" w:w="4726"/>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Semantics</w:t>
            </w:r>
          </w:p>
        </w:tc>
        <w:tc>
          <w:tcPr>
            <w:tcW w:type="dxa" w:w="3151"/>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Failure action</w:t>
            </w:r>
          </w:p>
        </w:tc>
      </w:tr>
      <w:tr>
        <w:trPr>
          <w:cantSplit/>
          <w:tblHeader w:val="false"/>
        </w:trPr>
        <w:tc>
          <w:tcPr>
            <w:tcW w:type="dxa" w:w="1761"/>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rFonts w:ascii="Consolas" w:cs="Consolas" w:eastAsia="Consolas" w:hAnsi="Consolas"/>
                <w:color w:val="9B2C2C"/>
                <w:sz w:val="18"/>
                <w:szCs w:val="18"/>
              </w:rPr>
              <w:t xml:space="preserve">GET /healthz</w:t>
            </w:r>
          </w:p>
        </w:tc>
        <w:tc>
          <w:tcPr>
            <w:tcW w:type="dxa" w:w="472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200 only if process functional: event loop responsive, no deadlock watchdog trip, error-loop counter &lt; limit</w:t>
            </w:r>
          </w:p>
        </w:tc>
        <w:tc>
          <w:tcPr>
            <w:tcW w:type="dxa" w:w="3151"/>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Restart after 3 failures (period 10 s)</w:t>
            </w:r>
          </w:p>
        </w:tc>
      </w:tr>
      <w:tr>
        <w:trPr>
          <w:cantSplit/>
          <w:tblHeader w:val="false"/>
        </w:trPr>
        <w:tc>
          <w:tcPr>
            <w:tcW w:type="dxa" w:w="1761"/>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rFonts w:ascii="Consolas" w:cs="Consolas" w:eastAsia="Consolas" w:hAnsi="Consolas"/>
                <w:color w:val="9B2C2C"/>
                <w:sz w:val="18"/>
                <w:szCs w:val="18"/>
              </w:rPr>
              <w:t xml:space="preserve">GET /readyz</w:t>
            </w:r>
          </w:p>
        </w:tc>
        <w:tc>
          <w:tcPr>
            <w:tcW w:type="dxa" w:w="4726"/>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200 only if dependencies reachable and models/config loaded; 503 during model reload or checkpoint restore</w:t>
            </w:r>
          </w:p>
        </w:tc>
        <w:tc>
          <w:tcPr>
            <w:tcW w:type="dxa" w:w="3151"/>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Removed from load balancing</w:t>
            </w:r>
          </w:p>
        </w:tc>
      </w:tr>
      <w:tr>
        <w:trPr>
          <w:cantSplit/>
          <w:tblHeader w:val="false"/>
        </w:trPr>
        <w:tc>
          <w:tcPr>
            <w:tcW w:type="dxa" w:w="1761"/>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rFonts w:ascii="Consolas" w:cs="Consolas" w:eastAsia="Consolas" w:hAnsi="Consolas"/>
                <w:color w:val="9B2C2C"/>
                <w:sz w:val="18"/>
                <w:szCs w:val="18"/>
              </w:rPr>
              <w:t xml:space="preserve">GET /metrics</w:t>
            </w:r>
          </w:p>
        </w:tc>
        <w:tc>
          <w:tcPr>
            <w:tcW w:type="dxa" w:w="472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Prometheus metrics</w:t>
            </w:r>
          </w:p>
        </w:tc>
        <w:tc>
          <w:tcPr>
            <w:tcW w:type="dxa" w:w="3151"/>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w:t>
            </w:r>
          </w:p>
        </w:tc>
      </w:tr>
      <w:tr>
        <w:trPr>
          <w:cantSplit/>
          <w:tblHeader w:val="false"/>
        </w:trPr>
        <w:tc>
          <w:tcPr>
            <w:tcW w:type="dxa" w:w="1761"/>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Heartbeat event</w:t>
            </w:r>
          </w:p>
        </w:tc>
        <w:tc>
          <w:tcPr>
            <w:tcW w:type="dxa" w:w="4726"/>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Each pipeline stage publishes </w:t>
            </w:r>
            <w:r>
              <w:rPr>
                <w:rFonts w:ascii="Consolas" w:cs="Consolas" w:eastAsia="Consolas" w:hAnsi="Consolas"/>
                <w:color w:val="9B2C2C"/>
                <w:sz w:val="18"/>
                <w:szCs w:val="18"/>
              </w:rPr>
              <w:t xml:space="preserve">heartbeat</w:t>
            </w:r>
            <w:r>
              <w:rPr>
                <w:sz w:val="18"/>
                <w:szCs w:val="18"/>
              </w:rPr>
              <w:t xml:space="preserve"> on </w:t>
            </w:r>
            <w:r>
              <w:rPr>
                <w:rFonts w:ascii="Consolas" w:cs="Consolas" w:eastAsia="Consolas" w:hAnsi="Consolas"/>
                <w:color w:val="9B2C2C"/>
                <w:sz w:val="18"/>
                <w:szCs w:val="18"/>
              </w:rPr>
              <w:t xml:space="preserve">control.heartbeat</w:t>
            </w:r>
            <w:r>
              <w:rPr>
                <w:sz w:val="18"/>
                <w:szCs w:val="18"/>
              </w:rPr>
              <w:t xml:space="preserve"> every 30 s</w:t>
            </w:r>
          </w:p>
        </w:tc>
        <w:tc>
          <w:tcPr>
            <w:tcW w:type="dxa" w:w="3151"/>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External dead-man's-switch pages if absent 5 min</w:t>
            </w:r>
          </w:p>
        </w:tc>
      </w:tr>
    </w:tbl>
    <w:p>
      <w:pPr>
        <w:spacing w:after="80"/>
      </w:pPr>
    </w:p>
    <w:p>
      <w:pPr>
        <w:spacing w:after="120"/>
      </w:pPr>
      <w:r>
        <w:t xml:space="preserve">Watchdog: each service runs an internal watchdog thread that fails </w:t>
      </w:r>
      <w:r>
        <w:rPr>
          <w:rFonts w:ascii="Consolas" w:cs="Consolas" w:eastAsia="Consolas" w:hAnsi="Consolas"/>
          <w:color w:val="9B2C2C"/>
          <w:sz w:val="18"/>
          <w:szCs w:val="18"/>
        </w:rPr>
        <w:t xml:space="preserve">/healthz</w:t>
      </w:r>
      <w:r>
        <w:t xml:space="preserve"> if the main processing loop has not advanced for &gt; 60 s while input is available.</w:t>
      </w:r>
    </w:p>
    <w:p>
      <w:pPr>
        <w:pStyle w:val="Heading1"/>
      </w:pPr>
      <w:r>
        <w:t xml:space="preserve">7. GitOps Drift Correction</w:t>
      </w:r>
    </w:p>
    <w:p>
      <w:pPr>
        <w:pBdr>
          <w:top w:val="single" w:color="F3F4F6" w:sz="2" w:space="2"/>
          <w:left w:val="single" w:color="2E75B6" w:sz="12" w:space="6"/>
        </w:pBdr>
        <w:shd w:fill="F3F4F6" w:color="auto" w:val="clear"/>
        <w:spacing w:after="0" w:before="0" w:line="240"/>
        <w:ind w:left="120"/>
      </w:pPr>
      <w:r>
        <w:rPr>
          <w:rFonts w:ascii="Consolas" w:cs="Consolas" w:eastAsia="Consolas" w:hAnsi="Consolas"/>
          <w:color w:val="1F2937"/>
          <w:sz w:val="15"/>
          <w:szCs w:val="15"/>
        </w:rPr>
        <w:t xml:space="preserve">loop every 3 min (and on Git webhook):</w:t>
      </w:r>
    </w:p>
    <w:p>
      <w:pPr>
        <w:pBdr>
          <w:left w:val="single" w:color="2E75B6" w:sz="12" w:space="6"/>
        </w:pBdr>
        <w:shd w:fill="F3F4F6" w:color="auto" w:val="clear"/>
        <w:spacing w:after="0" w:before="0" w:line="240"/>
        <w:ind w:left="120"/>
      </w:pPr>
      <w:r>
        <w:rPr>
          <w:rFonts w:ascii="Consolas" w:cs="Consolas" w:eastAsia="Consolas" w:hAnsi="Consolas"/>
          <w:color w:val="1F2937"/>
          <w:sz w:val="15"/>
          <w:szCs w:val="15"/>
        </w:rPr>
        <w:t xml:space="preserve">    desired = render(git@main, environment overlay)</w:t>
      </w:r>
    </w:p>
    <w:p>
      <w:pPr>
        <w:pBdr>
          <w:left w:val="single" w:color="2E75B6" w:sz="12" w:space="6"/>
        </w:pBdr>
        <w:shd w:fill="F3F4F6" w:color="auto" w:val="clear"/>
        <w:spacing w:after="0" w:before="0" w:line="240"/>
        <w:ind w:left="120"/>
      </w:pPr>
      <w:r>
        <w:rPr>
          <w:rFonts w:ascii="Consolas" w:cs="Consolas" w:eastAsia="Consolas" w:hAnsi="Consolas"/>
          <w:color w:val="1F2937"/>
          <w:sz w:val="15"/>
          <w:szCs w:val="15"/>
        </w:rPr>
        <w:t xml:space="preserve">    live    = kubernetes.get(managed resources)</w:t>
      </w:r>
    </w:p>
    <w:p>
      <w:pPr>
        <w:pBdr>
          <w:left w:val="single" w:color="2E75B6" w:sz="12" w:space="6"/>
        </w:pBdr>
        <w:shd w:fill="F3F4F6" w:color="auto" w:val="clear"/>
        <w:spacing w:after="0" w:before="0" w:line="240"/>
        <w:ind w:left="120"/>
      </w:pPr>
      <w:r>
        <w:rPr>
          <w:rFonts w:ascii="Consolas" w:cs="Consolas" w:eastAsia="Consolas" w:hAnsi="Consolas"/>
          <w:color w:val="1F2937"/>
          <w:sz w:val="15"/>
          <w:szCs w:val="15"/>
        </w:rPr>
        <w:t xml:space="preserve">    diff    = structural_diff(desired, live)  # ignoring status and server-managed fields</w:t>
      </w:r>
    </w:p>
    <w:p>
      <w:pPr>
        <w:pBdr>
          <w:left w:val="single" w:color="2E75B6" w:sz="12" w:space="6"/>
        </w:pBdr>
        <w:shd w:fill="F3F4F6" w:color="auto" w:val="clear"/>
        <w:spacing w:after="0" w:before="0" w:line="240"/>
        <w:ind w:left="120"/>
      </w:pPr>
      <w:r>
        <w:rPr>
          <w:rFonts w:ascii="Consolas" w:cs="Consolas" w:eastAsia="Consolas" w:hAnsi="Consolas"/>
          <w:color w:val="1F2937"/>
          <w:sz w:val="15"/>
          <w:szCs w:val="15"/>
        </w:rPr>
        <w:t xml:space="preserve">    log diff to audit (record_type=config_change, kind=drift_detected)</w:t>
      </w:r>
    </w:p>
    <w:p>
      <w:pPr>
        <w:pBdr>
          <w:left w:val="single" w:color="2E75B6" w:sz="12" w:space="6"/>
        </w:pBdr>
        <w:shd w:fill="F3F4F6" w:color="auto" w:val="clear"/>
        <w:spacing w:after="0" w:before="0" w:line="240"/>
        <w:ind w:left="120"/>
      </w:pPr>
      <w:r>
        <w:rPr>
          <w:rFonts w:ascii="Consolas" w:cs="Consolas" w:eastAsia="Consolas" w:hAnsi="Consolas"/>
          <w:color w:val="1F2937"/>
          <w:sz w:val="15"/>
          <w:szCs w:val="15"/>
        </w:rPr>
        <w:t xml:space="preserve">    for change in diff:</w:t>
      </w:r>
    </w:p>
    <w:p>
      <w:pPr>
        <w:pBdr>
          <w:left w:val="single" w:color="2E75B6" w:sz="12" w:space="6"/>
        </w:pBdr>
        <w:shd w:fill="F3F4F6" w:color="auto" w:val="clear"/>
        <w:spacing w:after="0" w:before="0" w:line="240"/>
        <w:ind w:left="120"/>
      </w:pPr>
      <w:r>
        <w:rPr>
          <w:rFonts w:ascii="Consolas" w:cs="Consolas" w:eastAsia="Consolas" w:hAnsi="Consolas"/>
          <w:color w:val="1F2937"/>
          <w:sz w:val="15"/>
          <w:szCs w:val="15"/>
        </w:rPr>
        <w:t xml:space="preserve">        if change.kind in {create, update}: apply(change)  # auto</w:t>
      </w:r>
    </w:p>
    <w:p>
      <w:pPr>
        <w:pBdr>
          <w:left w:val="single" w:color="2E75B6" w:sz="12" w:space="6"/>
        </w:pBdr>
        <w:shd w:fill="F3F4F6" w:color="auto" w:val="clear"/>
        <w:spacing w:after="0" w:before="0" w:line="240"/>
        <w:ind w:left="120"/>
      </w:pPr>
      <w:r>
        <w:rPr>
          <w:rFonts w:ascii="Consolas" w:cs="Consolas" w:eastAsia="Consolas" w:hAnsi="Consolas"/>
          <w:color w:val="1F2937"/>
          <w:sz w:val="15"/>
          <w:szCs w:val="15"/>
        </w:rPr>
        <w:t xml:space="preserve">        if change.kind == delete: queue_for_approval(change)  # destructive gate</w:t>
      </w:r>
    </w:p>
    <w:p>
      <w:pPr>
        <w:pBdr>
          <w:left w:val="single" w:color="2E75B6" w:sz="12" w:space="6"/>
        </w:pBdr>
        <w:shd w:fill="F3F4F6" w:color="auto" w:val="clear"/>
        <w:spacing w:after="160" w:before="0" w:line="240"/>
        <w:ind w:left="120"/>
      </w:pPr>
      <w:r>
        <w:rPr>
          <w:rFonts w:ascii="Consolas" w:cs="Consolas" w:eastAsia="Consolas" w:hAnsi="Consolas"/>
          <w:color w:val="1F2937"/>
          <w:sz w:val="15"/>
          <w:szCs w:val="15"/>
        </w:rPr>
        <w:t xml:space="preserve">    post-sync: wait for health (timeout 10 min); on failure alert platform team and keep last healthy revision</w:t>
      </w:r>
    </w:p>
    <w:p>
      <w:pPr>
        <w:spacing w:after="120"/>
      </w:pPr>
      <w:r>
        <w:t xml:space="preserve">Argo CD settings: </w:t>
      </w:r>
      <w:r>
        <w:rPr>
          <w:rFonts w:ascii="Consolas" w:cs="Consolas" w:eastAsia="Consolas" w:hAnsi="Consolas"/>
          <w:color w:val="9B2C2C"/>
          <w:sz w:val="18"/>
          <w:szCs w:val="18"/>
        </w:rPr>
        <w:t xml:space="preserve">syncPolicy.automated.prune=false</w:t>
      </w:r>
      <w:r>
        <w:t xml:space="preserve">, </w:t>
      </w:r>
      <w:r>
        <w:rPr>
          <w:rFonts w:ascii="Consolas" w:cs="Consolas" w:eastAsia="Consolas" w:hAnsi="Consolas"/>
          <w:color w:val="9B2C2C"/>
          <w:sz w:val="18"/>
          <w:szCs w:val="18"/>
        </w:rPr>
        <w:t xml:space="preserve">selfHeal=true</w:t>
      </w:r>
      <w:r>
        <w:t xml:space="preserve">, sync windows aligned to change freezes (TS-16 production lock).</w:t>
      </w:r>
    </w:p>
    <w:p>
      <w:pPr>
        <w:pStyle w:val="Heading1"/>
      </w:pPr>
      <w:r>
        <w:t xml:space="preserve">8. KRI Instrumentation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91"/>
        <w:gridCol w:w="2657"/>
        <w:gridCol w:w="1387"/>
        <w:gridCol w:w="2042"/>
        <w:gridCol w:w="1761"/>
      </w:tblGrid>
      <w:tr>
        <w:trPr>
          <w:cantSplit/>
          <w:tblHeader/>
        </w:trPr>
        <w:tc>
          <w:tcPr>
            <w:tcW w:type="dxa" w:w="1791"/>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KRI</w:t>
            </w:r>
          </w:p>
        </w:tc>
        <w:tc>
          <w:tcPr>
            <w:tcW w:type="dxa" w:w="2657"/>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Computation</w:t>
            </w:r>
          </w:p>
        </w:tc>
        <w:tc>
          <w:tcPr>
            <w:tcW w:type="dxa" w:w="1387"/>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Threshold</w:t>
            </w:r>
          </w:p>
        </w:tc>
        <w:tc>
          <w:tcPr>
            <w:tcW w:type="dxa" w:w="2042"/>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Autonomous response</w:t>
            </w:r>
          </w:p>
        </w:tc>
        <w:tc>
          <w:tcPr>
            <w:tcW w:type="dxa" w:w="1761"/>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Escalation</w:t>
            </w:r>
          </w:p>
        </w:tc>
      </w:tr>
      <w:tr>
        <w:trPr>
          <w:cantSplit/>
          <w:tblHeader w:val="false"/>
        </w:trPr>
        <w:tc>
          <w:tcPr>
            <w:tcW w:type="dxa" w:w="1791"/>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Model distribution drift</w:t>
            </w:r>
          </w:p>
        </w:tc>
        <w:tc>
          <w:tcPr>
            <w:tcW w:type="dxa" w:w="2657"/>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Daily PSI per key feature (TS-06)</w:t>
            </w:r>
          </w:p>
        </w:tc>
        <w:tc>
          <w:tcPr>
            <w:tcW w:type="dxa" w:w="1387"/>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&gt; 0.2</w:t>
            </w:r>
          </w:p>
        </w:tc>
        <w:tc>
          <w:tcPr>
            <w:tcW w:type="dxa" w:w="204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Retraining signal</w:t>
            </w:r>
          </w:p>
        </w:tc>
        <w:tc>
          <w:tcPr>
            <w:tcW w:type="dxa" w:w="1761"/>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ML Eng alert</w:t>
            </w:r>
          </w:p>
        </w:tc>
      </w:tr>
      <w:tr>
        <w:trPr>
          <w:cantSplit/>
          <w:tblHeader w:val="false"/>
        </w:trPr>
        <w:tc>
          <w:tcPr>
            <w:tcW w:type="dxa" w:w="1791"/>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Pipeline end-to-end latency</w:t>
            </w:r>
          </w:p>
        </w:tc>
        <w:tc>
          <w:tcPr>
            <w:tcW w:type="dxa" w:w="2657"/>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P99 (now − event </w:t>
            </w:r>
            <w:r>
              <w:rPr>
                <w:rFonts w:ascii="Consolas" w:cs="Consolas" w:eastAsia="Consolas" w:hAnsi="Consolas"/>
                <w:color w:val="9B2C2C"/>
                <w:sz w:val="18"/>
                <w:szCs w:val="18"/>
              </w:rPr>
              <w:t xml:space="preserve">@timestamp</w:t>
            </w:r>
            <w:r>
              <w:rPr>
                <w:sz w:val="18"/>
                <w:szCs w:val="18"/>
              </w:rPr>
              <w:t xml:space="preserve">) at inference input, 1-min histogram</w:t>
            </w:r>
          </w:p>
        </w:tc>
        <w:tc>
          <w:tcPr>
            <w:tcW w:type="dxa" w:w="1387"/>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&gt; 30 s for 5 min</w:t>
            </w:r>
          </w:p>
        </w:tc>
        <w:tc>
          <w:tcPr>
            <w:tcW w:type="dxa" w:w="2042"/>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Scale Flink; rebalance partitions</w:t>
            </w:r>
          </w:p>
        </w:tc>
        <w:tc>
          <w:tcPr>
            <w:tcW w:type="dxa" w:w="1761"/>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Platform P2 if &gt; 15 min</w:t>
            </w:r>
          </w:p>
        </w:tc>
      </w:tr>
      <w:tr>
        <w:trPr>
          <w:cantSplit/>
          <w:tblHeader w:val="false"/>
        </w:trPr>
        <w:tc>
          <w:tcPr>
            <w:tcW w:type="dxa" w:w="1791"/>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Kafka consumer lag</w:t>
            </w:r>
          </w:p>
        </w:tc>
        <w:tc>
          <w:tcPr>
            <w:tcW w:type="dxa" w:w="2657"/>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Max per partition per group</w:t>
            </w:r>
          </w:p>
        </w:tc>
        <w:tc>
          <w:tcPr>
            <w:tcW w:type="dxa" w:w="1387"/>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&gt; 50,000 events</w:t>
            </w:r>
          </w:p>
        </w:tc>
        <w:tc>
          <w:tcPr>
            <w:tcW w:type="dxa" w:w="204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HPA scale; Cruise Control</w:t>
            </w:r>
          </w:p>
        </w:tc>
        <w:tc>
          <w:tcPr>
            <w:tcW w:type="dxa" w:w="1761"/>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Platform P2 if growing 15 min</w:t>
            </w:r>
          </w:p>
        </w:tc>
      </w:tr>
      <w:tr>
        <w:trPr>
          <w:cantSplit/>
          <w:tblHeader w:val="false"/>
        </w:trPr>
        <w:tc>
          <w:tcPr>
            <w:tcW w:type="dxa" w:w="1791"/>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Schema validation failure rate</w:t>
            </w:r>
          </w:p>
        </w:tc>
        <w:tc>
          <w:tcPr>
            <w:tcW w:type="dxa" w:w="2657"/>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DLQ / total per source, 15-min window</w:t>
            </w:r>
          </w:p>
        </w:tc>
        <w:tc>
          <w:tcPr>
            <w:tcW w:type="dxa" w:w="1387"/>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&gt; 2%</w:t>
            </w:r>
          </w:p>
        </w:tc>
        <w:tc>
          <w:tcPr>
            <w:tcW w:type="dxa" w:w="2042"/>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Quarantine; source rate-limit if &gt; 20%</w:t>
            </w:r>
          </w:p>
        </w:tc>
        <w:tc>
          <w:tcPr>
            <w:tcW w:type="dxa" w:w="1761"/>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Data Eng + source owner</w:t>
            </w:r>
          </w:p>
        </w:tc>
      </w:tr>
      <w:tr>
        <w:trPr>
          <w:cantSplit/>
          <w:tblHeader w:val="false"/>
        </w:trPr>
        <w:tc>
          <w:tcPr>
            <w:tcW w:type="dxa" w:w="1791"/>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FP suppression rule coverage</w:t>
            </w:r>
          </w:p>
        </w:tc>
        <w:tc>
          <w:tcPr>
            <w:tcW w:type="dxa" w:w="2657"/>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Rules with &lt; 3 fires in 30 d</w:t>
            </w:r>
          </w:p>
        </w:tc>
        <w:tc>
          <w:tcPr>
            <w:tcW w:type="dxa" w:w="1387"/>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Any</w:t>
            </w:r>
          </w:p>
        </w:tc>
        <w:tc>
          <w:tcPr>
            <w:tcW w:type="dxa" w:w="204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Flag for review; archive at 90 d unused</w:t>
            </w:r>
          </w:p>
        </w:tc>
        <w:tc>
          <w:tcPr>
            <w:tcW w:type="dxa" w:w="1761"/>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Policy owner weekly</w:t>
            </w:r>
          </w:p>
        </w:tc>
      </w:tr>
      <w:tr>
        <w:trPr>
          <w:cantSplit/>
          <w:tblHeader w:val="false"/>
        </w:trPr>
        <w:tc>
          <w:tcPr>
            <w:tcW w:type="dxa" w:w="1791"/>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Feature Store availability</w:t>
            </w:r>
          </w:p>
        </w:tc>
        <w:tc>
          <w:tcPr>
            <w:tcW w:type="dxa" w:w="2657"/>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Read P99 and success ratio</w:t>
            </w:r>
          </w:p>
        </w:tc>
        <w:tc>
          <w:tcPr>
            <w:tcW w:type="dxa" w:w="1387"/>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&gt; 10 ms or &lt; 99.9%</w:t>
            </w:r>
          </w:p>
        </w:tc>
        <w:tc>
          <w:tcPr>
            <w:tcW w:type="dxa" w:w="2042"/>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Redis scale-out / slot migration</w:t>
            </w:r>
          </w:p>
        </w:tc>
        <w:tc>
          <w:tcPr>
            <w:tcW w:type="dxa" w:w="1761"/>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Platform P2</w:t>
            </w:r>
          </w:p>
        </w:tc>
      </w:tr>
      <w:tr>
        <w:trPr>
          <w:cantSplit/>
          <w:tblHeader w:val="false"/>
        </w:trPr>
        <w:tc>
          <w:tcPr>
            <w:tcW w:type="dxa" w:w="1791"/>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Autonomous threshold drift</w:t>
            </w:r>
          </w:p>
        </w:tc>
        <w:tc>
          <w:tcPr>
            <w:tcW w:type="dxa" w:w="2657"/>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Σ applied deltas since last human-reviewed baseline, per threshold</w:t>
            </w:r>
          </w:p>
        </w:tc>
        <w:tc>
          <w:tcPr>
            <w:tcW w:type="dxa" w:w="1387"/>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w:t>
            </w:r>
          </w:p>
        </w:tc>
        <w:tc>
          <w:tcPr>
            <w:tcW w:type="dxa" w:w="204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Σ\</w:t>
            </w:r>
          </w:p>
        </w:tc>
        <w:tc>
          <w:tcPr>
            <w:tcW w:type="dxa" w:w="1761"/>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&gt; 0.15</w:t>
            </w:r>
          </w:p>
        </w:tc>
      </w:tr>
      <w:tr>
        <w:trPr>
          <w:cantSplit/>
          <w:tblHeader w:val="false"/>
        </w:trPr>
        <w:tc>
          <w:tcPr>
            <w:tcW w:type="dxa" w:w="1791"/>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ITSM integration health</w:t>
            </w:r>
          </w:p>
        </w:tc>
        <w:tc>
          <w:tcPr>
            <w:tcW w:type="dxa" w:w="2657"/>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Consecutive API failures per platform</w:t>
            </w:r>
          </w:p>
        </w:tc>
        <w:tc>
          <w:tcPr>
            <w:tcW w:type="dxa" w:w="1387"/>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&gt; 3</w:t>
            </w:r>
          </w:p>
        </w:tc>
        <w:tc>
          <w:tcPr>
            <w:tcW w:type="dxa" w:w="2042"/>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Circuit breaker; queue for replay</w:t>
            </w:r>
          </w:p>
        </w:tc>
        <w:tc>
          <w:tcPr>
            <w:tcW w:type="dxa" w:w="1761"/>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Platform P2</w:t>
            </w:r>
          </w:p>
        </w:tc>
      </w:tr>
    </w:tbl>
    <w:p>
      <w:pPr>
        <w:spacing w:after="80"/>
      </w:pPr>
    </w:p>
    <w:p>
      <w:pPr>
        <w:spacing w:after="120"/>
      </w:pPr>
      <w:r>
        <w:t xml:space="preserve">KRIs are computed by a </w:t>
      </w:r>
      <w:r>
        <w:rPr>
          <w:rFonts w:ascii="Consolas" w:cs="Consolas" w:eastAsia="Consolas" w:hAnsi="Consolas"/>
          <w:color w:val="9B2C2C"/>
          <w:sz w:val="18"/>
          <w:szCs w:val="18"/>
        </w:rPr>
        <w:t xml:space="preserve">kri-evaluator</w:t>
      </w:r>
      <w:r>
        <w:t xml:space="preserve"> service reading VictoriaMetrics and the audit store, published as </w:t>
      </w:r>
      <w:r>
        <w:rPr>
          <w:rFonts w:ascii="Consolas" w:cs="Consolas" w:eastAsia="Consolas" w:hAnsi="Consolas"/>
          <w:color w:val="9B2C2C"/>
          <w:sz w:val="18"/>
          <w:szCs w:val="18"/>
        </w:rPr>
        <w:t xml:space="preserve">kri_status{kri, state}</w:t>
      </w:r>
      <w:r>
        <w:t xml:space="preserve"> (ok/warn/breach), and reported weekly (TS-10 §10).</w:t>
      </w:r>
    </w:p>
    <w:p>
      <w:pPr>
        <w:pStyle w:val="Heading1"/>
      </w:pPr>
      <w:r>
        <w:t xml:space="preserve">9. Feedback Processing</w:t>
      </w:r>
    </w:p>
    <w:p>
      <w:pPr>
        <w:pStyle w:val="Heading2"/>
      </w:pPr>
      <w:r>
        <w:t xml:space="preserve">9.1 Label routing</w:t>
      </w:r>
    </w:p>
    <w:p>
      <w:pPr>
        <w:pBdr>
          <w:top w:val="single" w:color="F3F4F6" w:sz="2" w:space="2"/>
          <w:left w:val="single" w:color="2E75B6" w:sz="12" w:space="6"/>
        </w:pBdr>
        <w:shd w:fill="F3F4F6" w:color="auto" w:val="clear"/>
        <w:spacing w:after="0" w:before="0" w:line="240"/>
        <w:ind w:left="120"/>
      </w:pPr>
      <w:r>
        <w:rPr>
          <w:rFonts w:ascii="Consolas" w:cs="Consolas" w:eastAsia="Consolas" w:hAnsi="Consolas"/>
          <w:color w:val="1F2937"/>
          <w:sz w:val="15"/>
          <w:szCs w:val="15"/>
        </w:rPr>
        <w:t xml:space="preserve">on FeedbackLabel l from feedback.labels:</w:t>
      </w:r>
    </w:p>
    <w:p>
      <w:pPr>
        <w:pBdr>
          <w:left w:val="single" w:color="2E75B6" w:sz="12" w:space="6"/>
        </w:pBdr>
        <w:shd w:fill="F3F4F6" w:color="auto" w:val="clear"/>
        <w:spacing w:after="0" w:before="0" w:line="240"/>
        <w:ind w:left="120"/>
      </w:pPr>
      <w:r>
        <w:rPr>
          <w:rFonts w:ascii="Consolas" w:cs="Consolas" w:eastAsia="Consolas" w:hAnsi="Consolas"/>
          <w:color w:val="1F2937"/>
          <w:sz w:val="15"/>
          <w:szCs w:val="15"/>
        </w:rPr>
        <w:t xml:space="preserve">    write l to offline labels table (TS-04 §11)</w:t>
      </w:r>
    </w:p>
    <w:p>
      <w:pPr>
        <w:pBdr>
          <w:left w:val="single" w:color="2E75B6" w:sz="12" w:space="6"/>
        </w:pBdr>
        <w:shd w:fill="F3F4F6" w:color="auto" w:val="clear"/>
        <w:spacing w:after="0" w:before="0" w:line="240"/>
        <w:ind w:left="120"/>
      </w:pPr>
      <w:r>
        <w:rPr>
          <w:rFonts w:ascii="Consolas" w:cs="Consolas" w:eastAsia="Consolas" w:hAnsi="Consolas"/>
          <w:color w:val="1F2937"/>
          <w:sz w:val="15"/>
          <w:szCs w:val="15"/>
        </w:rPr>
        <w:t xml:space="preserve">    switch l.label_type:</w:t>
      </w:r>
    </w:p>
    <w:p>
      <w:pPr>
        <w:pBdr>
          <w:left w:val="single" w:color="2E75B6" w:sz="12" w:space="6"/>
        </w:pBdr>
        <w:shd w:fill="F3F4F6" w:color="auto" w:val="clear"/>
        <w:spacing w:after="0" w:before="0" w:line="240"/>
        <w:ind w:left="120"/>
      </w:pPr>
      <w:r>
        <w:rPr>
          <w:rFonts w:ascii="Consolas" w:cs="Consolas" w:eastAsia="Consolas" w:hAnsi="Consolas"/>
          <w:color w:val="1F2937"/>
          <w:sz w:val="15"/>
          <w:szCs w:val="15"/>
        </w:rPr>
        <w:t xml:space="preserve">      false_positive:      fp_pattern_miner.add(l); model_weight_adjuster.penalise(l)</w:t>
      </w:r>
    </w:p>
    <w:p>
      <w:pPr>
        <w:pBdr>
          <w:left w:val="single" w:color="2E75B6" w:sz="12" w:space="6"/>
        </w:pBdr>
        <w:shd w:fill="F3F4F6" w:color="auto" w:val="clear"/>
        <w:spacing w:after="0" w:before="0" w:line="240"/>
        <w:ind w:left="120"/>
      </w:pPr>
      <w:r>
        <w:rPr>
          <w:rFonts w:ascii="Consolas" w:cs="Consolas" w:eastAsia="Consolas" w:hAnsi="Consolas"/>
          <w:color w:val="1F2937"/>
          <w:sz w:val="15"/>
          <w:szCs w:val="15"/>
        </w:rPr>
        <w:t xml:space="preserve">      severity_adjustment: severity_calibrator.add(delta = rank(to) - rank(from), pattern = signature(l))</w:t>
      </w:r>
    </w:p>
    <w:p>
      <w:pPr>
        <w:pBdr>
          <w:left w:val="single" w:color="2E75B6" w:sz="12" w:space="6"/>
        </w:pBdr>
        <w:shd w:fill="F3F4F6" w:color="auto" w:val="clear"/>
        <w:spacing w:after="0" w:before="0" w:line="240"/>
        <w:ind w:left="120"/>
      </w:pPr>
      <w:r>
        <w:rPr>
          <w:rFonts w:ascii="Consolas" w:cs="Consolas" w:eastAsia="Consolas" w:hAnsi="Consolas"/>
          <w:color w:val="1F2937"/>
          <w:sz w:val="15"/>
          <w:szCs w:val="15"/>
        </w:rPr>
        <w:t xml:space="preserve">      root_cause_*:        rc_feedback.add(l)  # correlation weights, M4 training set</w:t>
      </w:r>
    </w:p>
    <w:p>
      <w:pPr>
        <w:pBdr>
          <w:left w:val="single" w:color="2E75B6" w:sz="12" w:space="6"/>
        </w:pBdr>
        <w:shd w:fill="F3F4F6" w:color="auto" w:val="clear"/>
        <w:spacing w:after="0" w:before="0" w:line="240"/>
        <w:ind w:left="120"/>
      </w:pPr>
      <w:r>
        <w:rPr>
          <w:rFonts w:ascii="Consolas" w:cs="Consolas" w:eastAsia="Consolas" w:hAnsi="Consolas"/>
          <w:color w:val="1F2937"/>
          <w:sz w:val="15"/>
          <w:szCs w:val="15"/>
        </w:rPr>
        <w:t xml:space="preserve">      resolution_notes:    nlp_queue.add(l)  # TS-13 function F6 / Learning agent</w:t>
      </w:r>
    </w:p>
    <w:p>
      <w:pPr>
        <w:pBdr>
          <w:left w:val="single" w:color="2E75B6" w:sz="12" w:space="6"/>
        </w:pBdr>
        <w:shd w:fill="F3F4F6" w:color="auto" w:val="clear"/>
        <w:spacing w:after="160" w:before="0" w:line="240"/>
        <w:ind w:left="120"/>
      </w:pPr>
      <w:r>
        <w:rPr>
          <w:rFonts w:ascii="Consolas" w:cs="Consolas" w:eastAsia="Consolas" w:hAnsi="Consolas"/>
          <w:color w:val="1F2937"/>
          <w:sz w:val="15"/>
          <w:szCs w:val="15"/>
        </w:rPr>
        <w:t xml:space="preserve">    audit(record_type=label_processed)</w:t>
      </w:r>
    </w:p>
    <w:p>
      <w:pPr>
        <w:pStyle w:val="Heading2"/>
      </w:pPr>
      <w:r>
        <w:t xml:space="preserve">9.2 Detection signature</w:t>
      </w:r>
    </w:p>
    <w:p>
      <w:pPr>
        <w:spacing w:after="120"/>
      </w:pPr>
      <w:r>
        <w:t xml:space="preserve">A signature groups similar detections for pattern mining: </w:t>
      </w:r>
      <w:r>
        <w:rPr>
          <w:rFonts w:ascii="Consolas" w:cs="Consolas" w:eastAsia="Consolas" w:hAnsi="Consolas"/>
          <w:color w:val="9B2C2C"/>
          <w:sz w:val="18"/>
          <w:szCs w:val="18"/>
        </w:rPr>
        <w:t xml:space="preserve">(entity_class, service, predicted_mode, top-3 SHAP feature names (sorted), hour bucket (4 h), deployment_flag)</w:t>
      </w:r>
      <w:r>
        <w:t xml:space="preserve">.</w:t>
      </w:r>
    </w:p>
    <w:p>
      <w:pPr>
        <w:pStyle w:val="Heading2"/>
      </w:pPr>
      <w:r>
        <w:t xml:space="preserve">9.3 Temporary model weight penalty</w:t>
      </w:r>
    </w:p>
    <w:p>
      <w:pPr>
        <w:spacing w:after="120"/>
      </w:pPr>
      <w:r>
        <w:t xml:space="preserve">On a confirmed false positive, models whose contribution to that detection was &gt; 30% have their fusion weight for the (domain, signature) multiplied by 0.9, floor 0.5 of original, decaying back to 1.0 over 7 days unless further FPs occur. Penalties are logged as </w:t>
      </w:r>
      <w:r>
        <w:rPr>
          <w:rFonts w:ascii="Consolas" w:cs="Consolas" w:eastAsia="Consolas" w:hAnsi="Consolas"/>
          <w:color w:val="9B2C2C"/>
          <w:sz w:val="18"/>
          <w:szCs w:val="18"/>
        </w:rPr>
        <w:t xml:space="preserve">threshold_change</w:t>
      </w:r>
      <w:r>
        <w:t xml:space="preserve"> records.</w:t>
      </w:r>
    </w:p>
    <w:p>
      <w:pPr>
        <w:pStyle w:val="Heading1"/>
      </w:pPr>
      <w:r>
        <w:t xml:space="preserve">10. Autonomous Threshold Recalibration</w:t>
      </w:r>
    </w:p>
    <w:p>
      <w:pPr>
        <w:pStyle w:val="Heading2"/>
      </w:pPr>
      <w:r>
        <w:t xml:space="preserve">10.1 Triggers (rolling 7-day window per policy scope)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46"/>
        <w:gridCol w:w="4292"/>
      </w:tblGrid>
      <w:tr>
        <w:trPr>
          <w:cantSplit/>
          <w:tblHeader/>
        </w:trPr>
        <w:tc>
          <w:tcPr>
            <w:tcW w:type="dxa" w:w="5346"/>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Condition</w:t>
            </w:r>
          </w:p>
        </w:tc>
        <w:tc>
          <w:tcPr>
            <w:tcW w:type="dxa" w:w="4292"/>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Action</w:t>
            </w:r>
          </w:p>
        </w:tc>
      </w:tr>
      <w:tr>
        <w:trPr>
          <w:cantSplit/>
          <w:tblHeader w:val="false"/>
        </w:trPr>
        <w:tc>
          <w:tcPr>
            <w:tcW w:type="dxa" w:w="534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Auto-ticket FP rate &gt; 5%</w:t>
            </w:r>
          </w:p>
        </w:tc>
        <w:tc>
          <w:tcPr>
            <w:tcW w:type="dxa" w:w="429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Tightening review: raise relevant severity/emit thresholds</w:t>
            </w:r>
          </w:p>
        </w:tc>
      </w:tr>
      <w:tr>
        <w:trPr>
          <w:cantSplit/>
          <w:tblHeader w:val="false"/>
        </w:trPr>
        <w:tc>
          <w:tcPr>
            <w:tcW w:type="dxa" w:w="5346"/>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Missed-incident rate &gt; 10% (incidents raised by humans/users with no prior detection ≥ P3)</w:t>
            </w:r>
          </w:p>
        </w:tc>
        <w:tc>
          <w:tcPr>
            <w:tcW w:type="dxa" w:w="4292"/>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Relaxation review: lower thresholds</w:t>
            </w:r>
          </w:p>
        </w:tc>
      </w:tr>
    </w:tbl>
    <w:p>
      <w:pPr>
        <w:spacing w:after="80"/>
      </w:pPr>
    </w:p>
    <w:p>
      <w:pPr>
        <w:pStyle w:val="Heading2"/>
      </w:pPr>
      <w:r>
        <w:t xml:space="preserve">10.2 Algorithm</w:t>
      </w:r>
    </w:p>
    <w:p>
      <w:pPr>
        <w:pBdr>
          <w:top w:val="single" w:color="F3F4F6" w:sz="2" w:space="2"/>
          <w:left w:val="single" w:color="2E75B6" w:sz="12" w:space="6"/>
        </w:pBdr>
        <w:shd w:fill="F3F4F6" w:color="auto" w:val="clear"/>
        <w:spacing w:after="0" w:before="0" w:line="240"/>
        <w:ind w:left="120"/>
      </w:pPr>
      <w:r>
        <w:rPr>
          <w:rFonts w:ascii="Consolas" w:cs="Consolas" w:eastAsia="Consolas" w:hAnsi="Consolas"/>
          <w:color w:val="1F2937"/>
          <w:sz w:val="15"/>
          <w:szCs w:val="15"/>
        </w:rPr>
        <w:t xml:space="preserve">for each threshold θ in scope (e.g. severity.p3, fusion.emit_threshold per class):</w:t>
      </w:r>
    </w:p>
    <w:p>
      <w:pPr>
        <w:pBdr>
          <w:left w:val="single" w:color="2E75B6" w:sz="12" w:space="6"/>
        </w:pBdr>
        <w:shd w:fill="F3F4F6" w:color="auto" w:val="clear"/>
        <w:spacing w:after="0" w:before="0" w:line="240"/>
        <w:ind w:left="120"/>
      </w:pPr>
      <w:r>
        <w:rPr>
          <w:rFonts w:ascii="Consolas" w:cs="Consolas" w:eastAsia="Consolas" w:hAnsi="Consolas"/>
          <w:color w:val="1F2937"/>
          <w:sz w:val="15"/>
          <w:szCs w:val="15"/>
        </w:rPr>
        <w:t xml:space="preserve">    proposed = optimise θ on last 7 d labelled data to minimise cost = FN_cost*FN + FP_cost*FP  # FN_cost=5, FP_cost=1 default</w:t>
      </w:r>
    </w:p>
    <w:p>
      <w:pPr>
        <w:pBdr>
          <w:left w:val="single" w:color="2E75B6" w:sz="12" w:space="6"/>
        </w:pBdr>
        <w:shd w:fill="F3F4F6" w:color="auto" w:val="clear"/>
        <w:spacing w:after="0" w:before="0" w:line="240"/>
        <w:ind w:left="120"/>
      </w:pPr>
      <w:r>
        <w:rPr>
          <w:rFonts w:ascii="Consolas" w:cs="Consolas" w:eastAsia="Consolas" w:hAnsi="Consolas"/>
          <w:color w:val="1F2937"/>
          <w:sz w:val="15"/>
          <w:szCs w:val="15"/>
        </w:rPr>
        <w:t xml:space="preserve">    delta = clamp(proposed − θ, −0.05, +0.05)  # per-cycle bound</w:t>
      </w:r>
    </w:p>
    <w:p>
      <w:pPr>
        <w:pBdr>
          <w:left w:val="single" w:color="2E75B6" w:sz="12" w:space="6"/>
        </w:pBdr>
        <w:shd w:fill="F3F4F6" w:color="auto" w:val="clear"/>
        <w:spacing w:after="0" w:before="0" w:line="240"/>
        <w:ind w:left="120"/>
      </w:pPr>
      <w:r>
        <w:rPr>
          <w:rFonts w:ascii="Consolas" w:cs="Consolas" w:eastAsia="Consolas" w:hAnsi="Consolas"/>
          <w:color w:val="1F2937"/>
          <w:sz w:val="15"/>
          <w:szCs w:val="15"/>
        </w:rPr>
        <w:t xml:space="preserve">    if |cumulative_delta[θ] + delta| &gt; 0.15:</w:t>
      </w:r>
    </w:p>
    <w:p>
      <w:pPr>
        <w:pBdr>
          <w:left w:val="single" w:color="2E75B6" w:sz="12" w:space="6"/>
        </w:pBdr>
        <w:shd w:fill="F3F4F6" w:color="auto" w:val="clear"/>
        <w:spacing w:after="0" w:before="0" w:line="240"/>
        <w:ind w:left="120"/>
      </w:pPr>
      <w:r>
        <w:rPr>
          <w:rFonts w:ascii="Consolas" w:cs="Consolas" w:eastAsia="Consolas" w:hAnsi="Consolas"/>
          <w:color w:val="1F2937"/>
          <w:sz w:val="15"/>
          <w:szCs w:val="15"/>
        </w:rPr>
        <w:t xml:space="preserve">         freeze(θ); open_review(θ, evidence); continue  # human gate</w:t>
      </w:r>
    </w:p>
    <w:p>
      <w:pPr>
        <w:pBdr>
          <w:left w:val="single" w:color="2E75B6" w:sz="12" w:space="6"/>
        </w:pBdr>
        <w:shd w:fill="F3F4F6" w:color="auto" w:val="clear"/>
        <w:spacing w:after="0" w:before="0" w:line="240"/>
        <w:ind w:left="120"/>
      </w:pPr>
      <w:r>
        <w:rPr>
          <w:rFonts w:ascii="Consolas" w:cs="Consolas" w:eastAsia="Consolas" w:hAnsi="Consolas"/>
          <w:color w:val="1F2937"/>
          <w:sz w:val="15"/>
          <w:szCs w:val="15"/>
        </w:rPr>
        <w:t xml:space="preserve">    apply θ += delta via Git commit by service identity (PR auto-merged for within-bounds changes)</w:t>
      </w:r>
    </w:p>
    <w:p>
      <w:pPr>
        <w:pBdr>
          <w:left w:val="single" w:color="2E75B6" w:sz="12" w:space="6"/>
        </w:pBdr>
        <w:shd w:fill="F3F4F6" w:color="auto" w:val="clear"/>
        <w:spacing w:after="0" w:before="0" w:line="240"/>
        <w:ind w:left="120"/>
      </w:pPr>
      <w:r>
        <w:rPr>
          <w:rFonts w:ascii="Consolas" w:cs="Consolas" w:eastAsia="Consolas" w:hAnsi="Consolas"/>
          <w:color w:val="1F2937"/>
          <w:sz w:val="15"/>
          <w:szCs w:val="15"/>
        </w:rPr>
        <w:t xml:space="preserve">    cumulative_delta[θ] += delta ; audit(threshold_change)</w:t>
      </w:r>
    </w:p>
    <w:p>
      <w:pPr>
        <w:pBdr>
          <w:left w:val="single" w:color="2E75B6" w:sz="12" w:space="6"/>
        </w:pBdr>
        <w:shd w:fill="F3F4F6" w:color="auto" w:val="clear"/>
        <w:spacing w:after="160" w:before="0" w:line="240"/>
        <w:ind w:left="120"/>
      </w:pPr>
      <w:r>
        <w:rPr>
          <w:rFonts w:ascii="Consolas" w:cs="Consolas" w:eastAsia="Consolas" w:hAnsi="Consolas"/>
          <w:color w:val="1F2937"/>
          <w:sz w:val="15"/>
          <w:szCs w:val="15"/>
        </w:rPr>
        <w:t xml:space="preserve">cycle frequency: daily at 04:00 UTC; max one change per threshold per day</w:t>
      </w:r>
    </w:p>
    <w:p>
      <w:pPr>
        <w:spacing w:after="120"/>
      </w:pPr>
      <w:r>
        <w:t xml:space="preserve">After human review, the reviewed value becomes the new baseline and </w:t>
      </w:r>
      <w:r>
        <w:rPr>
          <w:rFonts w:ascii="Consolas" w:cs="Consolas" w:eastAsia="Consolas" w:hAnsi="Consolas"/>
          <w:color w:val="9B2C2C"/>
          <w:sz w:val="18"/>
          <w:szCs w:val="18"/>
        </w:rPr>
        <w:t xml:space="preserve">cumulative_delta</w:t>
      </w:r>
      <w:r>
        <w:t xml:space="preserve"> resets to 0.</w:t>
      </w:r>
    </w:p>
    <w:p>
      <w:pPr>
        <w:pStyle w:val="Heading1"/>
      </w:pPr>
      <w:r>
        <w:t xml:space="preserve">11. Suppression Rule Lifecycle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9"/>
        <w:gridCol w:w="3844"/>
        <w:gridCol w:w="4155"/>
      </w:tblGrid>
      <w:tr>
        <w:trPr>
          <w:cantSplit/>
          <w:tblHeader/>
        </w:trPr>
        <w:tc>
          <w:tcPr>
            <w:tcW w:type="dxa" w:w="1639"/>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Stage</w:t>
            </w:r>
          </w:p>
        </w:tc>
        <w:tc>
          <w:tcPr>
            <w:tcW w:type="dxa" w:w="3844"/>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Rule</w:t>
            </w:r>
          </w:p>
        </w:tc>
        <w:tc>
          <w:tcPr>
            <w:tcW w:type="dxa" w:w="4155"/>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System behaviour</w:t>
            </w:r>
          </w:p>
        </w:tc>
      </w:tr>
      <w:tr>
        <w:trPr>
          <w:cantSplit/>
          <w:tblHeader w:val="false"/>
        </w:trPr>
        <w:tc>
          <w:tcPr>
            <w:tcW w:type="dxa" w:w="163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Proposed</w:t>
            </w:r>
          </w:p>
        </w:tc>
        <w:tc>
          <w:tcPr>
            <w:tcW w:type="dxa" w:w="384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 3 FPs share a signature within 14 days</w:t>
            </w:r>
          </w:p>
        </w:tc>
        <w:tc>
          <w:tcPr>
            <w:tcW w:type="dxa" w:w="415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Draft rule generated with narrowest matching predicates; notify policy owner with evidence</w:t>
            </w:r>
          </w:p>
        </w:tc>
      </w:tr>
      <w:tr>
        <w:trPr>
          <w:cantSplit/>
          <w:tblHeader w:val="false"/>
        </w:trPr>
        <w:tc>
          <w:tcPr>
            <w:tcW w:type="dxa" w:w="1639"/>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Conflict check</w:t>
            </w:r>
          </w:p>
        </w:tc>
        <w:tc>
          <w:tcPr>
            <w:tcW w:type="dxa" w:w="3844"/>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New rule overlaps an active rule or would have suppressed any TP in last 30 d</w:t>
            </w:r>
          </w:p>
        </w:tc>
        <w:tc>
          <w:tcPr>
            <w:tcW w:type="dxa" w:w="4155"/>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Both surfaced with conflict highlighted; proposal blocked until resolved</w:t>
            </w:r>
          </w:p>
        </w:tc>
      </w:tr>
      <w:tr>
        <w:trPr>
          <w:cantSplit/>
          <w:tblHeader w:val="false"/>
        </w:trPr>
        <w:tc>
          <w:tcPr>
            <w:tcW w:type="dxa" w:w="163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Active</w:t>
            </w:r>
          </w:p>
        </w:tc>
        <w:tc>
          <w:tcPr>
            <w:tcW w:type="dxa" w:w="384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Approved by operator</w:t>
            </w:r>
          </w:p>
        </w:tc>
        <w:tc>
          <w:tcPr>
            <w:tcW w:type="dxa" w:w="415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Effective immediately via GitOps; every suppression logged</w:t>
            </w:r>
          </w:p>
        </w:tc>
      </w:tr>
      <w:tr>
        <w:trPr>
          <w:cantSplit/>
          <w:tblHeader w:val="false"/>
        </w:trPr>
        <w:tc>
          <w:tcPr>
            <w:tcW w:type="dxa" w:w="1639"/>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Review</w:t>
            </w:r>
          </w:p>
        </w:tc>
        <w:tc>
          <w:tcPr>
            <w:tcW w:type="dxa" w:w="3844"/>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Weekly</w:t>
            </w:r>
          </w:p>
        </w:tc>
        <w:tc>
          <w:tcPr>
            <w:tcW w:type="dxa" w:w="4155"/>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Flag if &lt; 3 fires in 30 d or if it suppressed an event later labelled TP</w:t>
            </w:r>
          </w:p>
        </w:tc>
      </w:tr>
      <w:tr>
        <w:trPr>
          <w:cantSplit/>
          <w:tblHeader w:val="false"/>
        </w:trPr>
        <w:tc>
          <w:tcPr>
            <w:tcW w:type="dxa" w:w="163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Archived</w:t>
            </w:r>
          </w:p>
        </w:tc>
        <w:tc>
          <w:tcPr>
            <w:tcW w:type="dxa" w:w="384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No fire in 90 d, or overridden by analyst &gt; 2 times in 30 d, or expiry</w:t>
            </w:r>
          </w:p>
        </w:tc>
        <w:tc>
          <w:tcPr>
            <w:tcW w:type="dxa" w:w="415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Moved to archive; searchable in audit</w:t>
            </w:r>
          </w:p>
        </w:tc>
      </w:tr>
    </w:tbl>
    <w:p>
      <w:pPr>
        <w:spacing w:after="80"/>
      </w:pPr>
    </w:p>
    <w:p>
      <w:pPr>
        <w:spacing w:after="120"/>
      </w:pPr>
      <w:r>
        <w:t xml:space="preserve">Default expiry of every rule: 90 days after activation unless renewed.</w:t>
      </w:r>
    </w:p>
    <w:p>
      <w:pPr>
        <w:pStyle w:val="Heading1"/>
      </w:pPr>
      <w:r>
        <w:t xml:space="preserve">12. Data-Quality Self-Correction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15"/>
        <w:gridCol w:w="5223"/>
      </w:tblGrid>
      <w:tr>
        <w:trPr>
          <w:cantSplit/>
          <w:tblHeader/>
        </w:trPr>
        <w:tc>
          <w:tcPr>
            <w:tcW w:type="dxa" w:w="4415"/>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Condition</w:t>
            </w:r>
          </w:p>
        </w:tc>
        <w:tc>
          <w:tcPr>
            <w:tcW w:type="dxa" w:w="5223"/>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Action</w:t>
            </w:r>
          </w:p>
        </w:tc>
      </w:tr>
      <w:tr>
        <w:trPr>
          <w:cantSplit/>
          <w:tblHeader w:val="false"/>
        </w:trPr>
        <w:tc>
          <w:tcPr>
            <w:tcW w:type="dxa" w:w="441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Source schema failures &gt; 2%</w:t>
            </w:r>
          </w:p>
        </w:tc>
        <w:tc>
          <w:tcPr>
            <w:tcW w:type="dxa" w:w="522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DLQ quarantine; mapping-regression rollback if correlated with mapping deploy</w:t>
            </w:r>
          </w:p>
        </w:tc>
      </w:tr>
      <w:tr>
        <w:trPr>
          <w:cantSplit/>
          <w:tblHeader w:val="false"/>
        </w:trPr>
        <w:tc>
          <w:tcPr>
            <w:tcW w:type="dxa" w:w="4415"/>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Source null-field rate on required feature inputs &gt; 20%</w:t>
            </w:r>
          </w:p>
        </w:tc>
        <w:tc>
          <w:tcPr>
            <w:tcW w:type="dxa" w:w="5223"/>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Feature marked degraded for source; models lower confidence</w:t>
            </w:r>
          </w:p>
        </w:tc>
      </w:tr>
      <w:tr>
        <w:trPr>
          <w:cantSplit/>
          <w:tblHeader w:val="false"/>
        </w:trPr>
        <w:tc>
          <w:tcPr>
            <w:tcW w:type="dxa" w:w="441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Duplicate ratio &gt; 30%</w:t>
            </w:r>
          </w:p>
        </w:tc>
        <w:tc>
          <w:tcPr>
            <w:tcW w:type="dxa" w:w="522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Alert: double collection; dedup continues</w:t>
            </w:r>
          </w:p>
        </w:tc>
      </w:tr>
      <w:tr>
        <w:trPr>
          <w:cantSplit/>
          <w:tblHeader w:val="false"/>
        </w:trPr>
        <w:tc>
          <w:tcPr>
            <w:tcW w:type="dxa" w:w="4415"/>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Clock skew &gt; 5 s median</w:t>
            </w:r>
          </w:p>
        </w:tc>
        <w:tc>
          <w:tcPr>
            <w:tcW w:type="dxa" w:w="5223"/>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Skew correction applied (TS-03 §8.2); owner alerted</w:t>
            </w:r>
          </w:p>
        </w:tc>
      </w:tr>
    </w:tbl>
    <w:p>
      <w:pPr>
        <w:spacing w:after="80"/>
      </w:pPr>
    </w:p>
    <w:p>
      <w:pPr>
        <w:pStyle w:val="Heading1"/>
      </w:pPr>
      <w:r>
        <w:t xml:space="preserve">13. Self-Observability Dashboard (minimum panels)</w:t>
      </w:r>
    </w:p>
    <w:p>
      <w:pPr>
        <w:pStyle w:val="ListParagraph"/>
        <w:numPr>
          <w:ilvl w:val="0"/>
          <w:numId w:val="2"/>
        </w:numPr>
        <w:spacing w:after="40"/>
      </w:pPr>
      <w:r>
        <w:t xml:space="preserve">KRI status matrix with trend sparkline</w:t>
      </w:r>
    </w:p>
    <w:p>
      <w:pPr>
        <w:pStyle w:val="ListParagraph"/>
        <w:numPr>
          <w:ilvl w:val="0"/>
          <w:numId w:val="2"/>
        </w:numPr>
        <w:spacing w:after="40"/>
      </w:pPr>
      <w:r>
        <w:t xml:space="preserve">Self-healing actions per day (restarts, syncs, rollbacks, scale events)</w:t>
      </w:r>
    </w:p>
    <w:p>
      <w:pPr>
        <w:pStyle w:val="ListParagraph"/>
        <w:numPr>
          <w:ilvl w:val="0"/>
          <w:numId w:val="2"/>
        </w:numPr>
        <w:spacing w:after="40"/>
      </w:pPr>
      <w:r>
        <w:t xml:space="preserve">Threshold drift gauges per policy threshold vs. ±0.15 gate</w:t>
      </w:r>
    </w:p>
    <w:p>
      <w:pPr>
        <w:pStyle w:val="ListParagraph"/>
        <w:numPr>
          <w:ilvl w:val="0"/>
          <w:numId w:val="2"/>
        </w:numPr>
        <w:spacing w:after="40"/>
      </w:pPr>
      <w:r>
        <w:t xml:space="preserve">Suppression rules: proposed / active / archived counts, top firing rules</w:t>
      </w:r>
    </w:p>
    <w:p>
      <w:pPr>
        <w:pStyle w:val="ListParagraph"/>
        <w:numPr>
          <w:ilvl w:val="0"/>
          <w:numId w:val="2"/>
        </w:numPr>
        <w:spacing w:after="40"/>
      </w:pPr>
      <w:r>
        <w:t xml:space="preserve">Feedback funnel: incidents → labelled → processed into training</w:t>
      </w:r>
    </w:p>
    <w:p>
      <w:pPr>
        <w:pStyle w:val="Heading1"/>
      </w:pPr>
      <w:r>
        <w:t xml:space="preserve">14. Security Controls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4"/>
        <w:gridCol w:w="7424"/>
      </w:tblGrid>
      <w:tr>
        <w:trPr>
          <w:cantSplit/>
          <w:tblHeader/>
        </w:trPr>
        <w:tc>
          <w:tcPr>
            <w:tcW w:type="dxa" w:w="2214"/>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ID</w:t>
            </w:r>
          </w:p>
        </w:tc>
        <w:tc>
          <w:tcPr>
            <w:tcW w:type="dxa" w:w="7424"/>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Control</w:t>
            </w:r>
          </w:p>
        </w:tc>
      </w:tr>
      <w:tr>
        <w:trPr>
          <w:cantSplit/>
          <w:tblHeader w:val="false"/>
        </w:trPr>
        <w:tc>
          <w:tcPr>
            <w:tcW w:type="dxa" w:w="221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TS11-SEC-001</w:t>
            </w:r>
          </w:p>
        </w:tc>
        <w:tc>
          <w:tcPr>
            <w:tcW w:type="dxa" w:w="742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Service identity used for automated Git commits restricted to </w:t>
            </w:r>
            <w:r>
              <w:rPr>
                <w:rFonts w:ascii="Consolas" w:cs="Consolas" w:eastAsia="Consolas" w:hAnsi="Consolas"/>
                <w:color w:val="9B2C2C"/>
                <w:sz w:val="18"/>
                <w:szCs w:val="18"/>
              </w:rPr>
              <w:t xml:space="preserve">policies/thresholds/*</w:t>
            </w:r>
            <w:r>
              <w:rPr>
                <w:sz w:val="18"/>
                <w:szCs w:val="18"/>
              </w:rPr>
              <w:t xml:space="preserve"> paths; branch protection enforces bounds check CI</w:t>
            </w:r>
          </w:p>
        </w:tc>
      </w:tr>
      <w:tr>
        <w:trPr>
          <w:cantSplit/>
          <w:tblHeader w:val="false"/>
        </w:trPr>
        <w:tc>
          <w:tcPr>
            <w:tcW w:type="dxa" w:w="2214"/>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TS11-SEC-002</w:t>
            </w:r>
          </w:p>
        </w:tc>
        <w:tc>
          <w:tcPr>
            <w:tcW w:type="dxa" w:w="7424"/>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Suppression rule activation requires </w:t>
            </w:r>
            <w:r>
              <w:rPr>
                <w:rFonts w:ascii="Consolas" w:cs="Consolas" w:eastAsia="Consolas" w:hAnsi="Consolas"/>
                <w:color w:val="9B2C2C"/>
                <w:sz w:val="18"/>
                <w:szCs w:val="18"/>
              </w:rPr>
              <w:t xml:space="preserve">approver</w:t>
            </w:r>
            <w:r>
              <w:rPr>
                <w:sz w:val="18"/>
                <w:szCs w:val="18"/>
              </w:rPr>
              <w:t xml:space="preserve"> role; self-approval by rule author is blocked</w:t>
            </w:r>
          </w:p>
        </w:tc>
      </w:tr>
      <w:tr>
        <w:trPr>
          <w:cantSplit/>
          <w:tblHeader w:val="false"/>
        </w:trPr>
        <w:tc>
          <w:tcPr>
            <w:tcW w:type="dxa" w:w="221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TS11-SEC-003</w:t>
            </w:r>
          </w:p>
        </w:tc>
        <w:tc>
          <w:tcPr>
            <w:tcW w:type="dxa" w:w="742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Label ingestion validates actor role; labels from non-analyst roles discarded</w:t>
            </w:r>
          </w:p>
        </w:tc>
      </w:tr>
    </w:tbl>
    <w:p>
      <w:pPr>
        <w:spacing w:after="80"/>
      </w:pPr>
    </w:p>
    <w:p>
      <w:pPr>
        <w:pStyle w:val="Heading1"/>
      </w:pPr>
      <w:r>
        <w:t xml:space="preserve">15. Acceptance Criteria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84"/>
        <w:gridCol w:w="7354"/>
      </w:tblGrid>
      <w:tr>
        <w:trPr>
          <w:cantSplit/>
          <w:tblHeader/>
        </w:trPr>
        <w:tc>
          <w:tcPr>
            <w:tcW w:type="dxa" w:w="2284"/>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ID</w:t>
            </w:r>
          </w:p>
        </w:tc>
        <w:tc>
          <w:tcPr>
            <w:tcW w:type="dxa" w:w="7354"/>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Criterion</w:t>
            </w:r>
          </w:p>
        </w:tc>
      </w:tr>
      <w:tr>
        <w:trPr>
          <w:cantSplit/>
          <w:tblHeader w:val="false"/>
        </w:trPr>
        <w:tc>
          <w:tcPr>
            <w:tcW w:type="dxa" w:w="228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TS11-AC-001</w:t>
            </w:r>
          </w:p>
        </w:tc>
        <w:tc>
          <w:tcPr>
            <w:tcW w:type="dxa" w:w="735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Manual </w:t>
            </w:r>
            <w:r>
              <w:rPr>
                <w:rFonts w:ascii="Consolas" w:cs="Consolas" w:eastAsia="Consolas" w:hAnsi="Consolas"/>
                <w:color w:val="9B2C2C"/>
                <w:sz w:val="18"/>
                <w:szCs w:val="18"/>
              </w:rPr>
              <w:t xml:space="preserve">kubectl edit</w:t>
            </w:r>
            <w:r>
              <w:rPr>
                <w:sz w:val="18"/>
                <w:szCs w:val="18"/>
              </w:rPr>
              <w:t xml:space="preserve"> of a managed Deployment is reverted within 3 min and audited</w:t>
            </w:r>
          </w:p>
        </w:tc>
      </w:tr>
      <w:tr>
        <w:trPr>
          <w:cantSplit/>
          <w:tblHeader w:val="false"/>
        </w:trPr>
        <w:tc>
          <w:tcPr>
            <w:tcW w:type="dxa" w:w="2284"/>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TS11-AC-002</w:t>
            </w:r>
          </w:p>
        </w:tc>
        <w:tc>
          <w:tcPr>
            <w:tcW w:type="dxa" w:w="7354"/>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Injected deadlock in a service fails </w:t>
            </w:r>
            <w:r>
              <w:rPr>
                <w:rFonts w:ascii="Consolas" w:cs="Consolas" w:eastAsia="Consolas" w:hAnsi="Consolas"/>
                <w:color w:val="9B2C2C"/>
                <w:sz w:val="18"/>
                <w:szCs w:val="18"/>
              </w:rPr>
              <w:t xml:space="preserve">/healthz</w:t>
            </w:r>
            <w:r>
              <w:rPr>
                <w:sz w:val="18"/>
                <w:szCs w:val="18"/>
              </w:rPr>
              <w:t xml:space="preserve"> and the pod is restarted within 90 s</w:t>
            </w:r>
          </w:p>
        </w:tc>
      </w:tr>
      <w:tr>
        <w:trPr>
          <w:cantSplit/>
          <w:tblHeader w:val="false"/>
        </w:trPr>
        <w:tc>
          <w:tcPr>
            <w:tcW w:type="dxa" w:w="228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TS11-AC-003</w:t>
            </w:r>
          </w:p>
        </w:tc>
        <w:tc>
          <w:tcPr>
            <w:tcW w:type="dxa" w:w="735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3 synthetic FPs with identical signature produce one proposed rule with evidence; rule not active until approved</w:t>
            </w:r>
          </w:p>
        </w:tc>
      </w:tr>
      <w:tr>
        <w:trPr>
          <w:cantSplit/>
          <w:tblHeader w:val="false"/>
        </w:trPr>
        <w:tc>
          <w:tcPr>
            <w:tcW w:type="dxa" w:w="2284"/>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TS11-AC-004</w:t>
            </w:r>
          </w:p>
        </w:tc>
        <w:tc>
          <w:tcPr>
            <w:tcW w:type="dxa" w:w="7354"/>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Recalibration never moves a threshold &gt; 0.05 in a cycle; at cumulative 0.15 the review gate opens and changes stop</w:t>
            </w:r>
          </w:p>
        </w:tc>
      </w:tr>
      <w:tr>
        <w:trPr>
          <w:cantSplit/>
          <w:tblHeader w:val="false"/>
        </w:trPr>
        <w:tc>
          <w:tcPr>
            <w:tcW w:type="dxa" w:w="228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TS11-AC-005</w:t>
            </w:r>
          </w:p>
        </w:tc>
        <w:tc>
          <w:tcPr>
            <w:tcW w:type="dxa" w:w="735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Each KRI breach in a fault-injection run triggers its documented autonomous response</w:t>
            </w:r>
          </w:p>
        </w:tc>
      </w:tr>
      <w:tr>
        <w:trPr>
          <w:cantSplit/>
          <w:tblHeader w:val="false"/>
        </w:trPr>
        <w:tc>
          <w:tcPr>
            <w:tcW w:type="dxa" w:w="2284"/>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TS11-AC-006</w:t>
            </w:r>
          </w:p>
        </w:tc>
        <w:tc>
          <w:tcPr>
            <w:tcW w:type="dxa" w:w="7354"/>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Stopping all heartbeats triggers external dead-man's-switch page within 6 min</w:t>
            </w:r>
          </w:p>
        </w:tc>
      </w:tr>
    </w:tbl>
    <w:p>
      <w:pPr>
        <w:spacing w:after="80"/>
      </w:pPr>
    </w:p>
    <w:p>
      <w:pPr>
        <w:pStyle w:val="Heading1"/>
      </w:pPr>
      <w:r>
        <w:t xml:space="preserve">16. Assumptions and Open Issues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14"/>
        <w:gridCol w:w="7824"/>
      </w:tblGrid>
      <w:tr>
        <w:trPr>
          <w:cantSplit/>
          <w:tblHeader/>
        </w:trPr>
        <w:tc>
          <w:tcPr>
            <w:tcW w:type="dxa" w:w="1814"/>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ID</w:t>
            </w:r>
          </w:p>
        </w:tc>
        <w:tc>
          <w:tcPr>
            <w:tcW w:type="dxa" w:w="7824"/>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Item</w:t>
            </w:r>
          </w:p>
        </w:tc>
      </w:tr>
      <w:tr>
        <w:trPr>
          <w:cantSplit/>
          <w:tblHeader w:val="false"/>
        </w:trPr>
        <w:tc>
          <w:tcPr>
            <w:tcW w:type="dxa" w:w="181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OI-01</w:t>
            </w:r>
          </w:p>
        </w:tc>
        <w:tc>
          <w:tcPr>
            <w:tcW w:type="dxa" w:w="782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FN/FP cost ratio (default 5:1) is a business decision; confirm per org unit</w:t>
            </w:r>
          </w:p>
        </w:tc>
      </w:tr>
      <w:tr>
        <w:trPr>
          <w:cantSplit/>
          <w:tblHeader w:val="false"/>
        </w:trPr>
        <w:tc>
          <w:tcPr>
            <w:tcW w:type="dxa" w:w="1814"/>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OI-02</w:t>
            </w:r>
          </w:p>
        </w:tc>
        <w:tc>
          <w:tcPr>
            <w:tcW w:type="dxa" w:w="7824"/>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Definition of "missed incident" requires reliable tagging of human-reported incidents in ITSM</w:t>
            </w:r>
          </w:p>
        </w:tc>
      </w:tr>
    </w:tbl>
    <w:p>
      <w:pPr>
        <w:spacing w:after="8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595959"/>
        <w:sz w:val="16"/>
        <w:szCs w:val="16"/>
      </w:rPr>
      <w:t xml:space="preserve">Sakul Gupta · Confidential</w:t>
    </w:r>
    <w:r>
      <w:rPr>
        <w:color w:val="595959"/>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9D4" w:sz="4" w:space="4"/>
      </w:pBdr>
      <w:tabs>
        <w:tab w:val="right" w:pos="9638"/>
      </w:tabs>
    </w:pPr>
    <w:r>
      <w:rPr>
        <w:color w:val="595959"/>
        <w:sz w:val="16"/>
        <w:szCs w:val="16"/>
      </w:rPr>
      <w:t xml:space="preserve">TS-11 · Autonomous Self-Management and Self-Correction</w:t>
    </w:r>
    <w:r>
      <w:rPr>
        <w:color w:val="595959"/>
        <w:sz w:val="16"/>
        <w:szCs w:val="16"/>
      </w:rPr>
      <w:t xml:space="preserve">	Technical Specification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3A5F"/>
      <w:sz w:val="32"/>
      <w:szCs w:val="32"/>
    </w:rPr>
  </w:style>
  <w:style w:type="paragraph" w:styleId="Heading2">
    <w:name w:val="Heading 2"/>
    <w:basedOn w:val="Normal"/>
    <w:next w:val="Normal"/>
    <w:qFormat/>
    <w:pPr>
      <w:keepNext/>
      <w:spacing w:after="120" w:before="280"/>
      <w:outlineLvl w:val="1"/>
    </w:pPr>
    <w:rPr>
      <w:rFonts w:ascii="Calibri" w:cs="Calibri" w:eastAsia="Calibri" w:hAnsi="Calibri"/>
      <w:b/>
      <w:bCs/>
      <w:color w:val="2E75B6"/>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333F4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TS-11 Autonomous Self-Management and Self-Correction</dc:title>
  <dc:creator>Sakul Gupta</dc:creator>
  <cp:lastModifiedBy>Un-named</cp:lastModifiedBy>
  <cp:revision>1</cp:revision>
  <dcterms:created xsi:type="dcterms:W3CDTF">2026-10-14T09:35:31.080Z</dcterms:created>
  <dcterms:modified xsi:type="dcterms:W3CDTF">2026-10-14T09:35:31.080Z</dcterms:modified>
</cp:coreProperties>
</file>

<file path=docProps/custom.xml><?xml version="1.0" encoding="utf-8"?>
<Properties xmlns="http://schemas.openxmlformats.org/officeDocument/2006/custom-properties" xmlns:vt="http://schemas.openxmlformats.org/officeDocument/2006/docPropsVTypes"/>
</file>