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2E75B6"/>
          <w:spacing w:val="40"/>
          <w:sz w:val="22"/>
          <w:szCs w:val="22"/>
        </w:rPr>
        <w:t xml:space="preserve">TECHNICAL SPECIFICATION</w:t>
      </w:r>
    </w:p>
    <w:p>
      <w:pPr>
        <w:spacing w:after="80"/>
      </w:pPr>
      <w:r>
        <w:rPr>
          <w:b/>
          <w:bCs/>
          <w:color w:val="595959"/>
          <w:sz w:val="32"/>
          <w:szCs w:val="32"/>
        </w:rPr>
        <w:t xml:space="preserve">TS-12</w:t>
      </w:r>
    </w:p>
    <w:p>
      <w:pPr>
        <w:spacing w:after="240"/>
      </w:pPr>
      <w:r>
        <w:rPr>
          <w:b/>
          <w:bCs/>
          <w:color w:val="1F3A5F"/>
          <w:sz w:val="48"/>
          <w:szCs w:val="48"/>
        </w:rPr>
        <w:t xml:space="preserve">Scalability and Elastic Capacity Management</w:t>
      </w:r>
    </w:p>
    <w:p>
      <w:pPr>
        <w:pBdr>
          <w:bottom w:val="single" w:color="2E75B6" w:sz="12" w:space="4"/>
        </w:pBdr>
        <w:spacing w:after="240"/>
      </w:pPr>
    </w:p>
    <w:p>
      <w:pPr>
        <w:spacing w:after="360"/>
      </w:pPr>
      <w:r>
        <w:rPr>
          <w:i/>
          <w:iCs/>
          <w:color w:val="595959"/>
          <w:sz w:val="22"/>
          <w:szCs w:val="22"/>
        </w:rPr>
        <w:t xml:space="preserve">Capacity model and autoscaling policies for every tier — HPA/KEDA definitions, Kafka partition and broker elasticity, Flink reactive scaling, Redis slot migration, predictive pre-scaling, storage lifecycle and cluster autoscaling — with load-test acceptance criteria.</w:t>
      </w:r>
    </w:p>
    <w:p>
      <w:pPr>
        <w:spacing w:after="120"/>
      </w:pPr>
      <w:r>
        <w:rPr>
          <w:b/>
          <w:bCs/>
          <w:color w:val="1F3A5F"/>
          <w:sz w:val="20"/>
          <w:szCs w:val="20"/>
        </w:rPr>
        <w:t xml:space="preserve">Proactive Infrastructure Disruption Detection &amp; Automated Incident 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3"/>
        <w:gridCol w:w="6215"/>
      </w:tblGrid>
      <w:tr>
        <w:trPr>
          <w:cantSplit/>
          <w:tblHeader/>
        </w:trPr>
        <w:tc>
          <w:tcPr>
            <w:tcW w:type="dxa" w:w="342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Field</w:t>
            </w:r>
          </w:p>
        </w:tc>
        <w:tc>
          <w:tcPr>
            <w:tcW w:type="dxa" w:w="6215"/>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Value</w:t>
            </w:r>
          </w:p>
        </w:tc>
      </w:tr>
      <w:tr>
        <w:trPr>
          <w:cantSplit/>
          <w:tblHeader w:val="false"/>
        </w:trPr>
        <w:tc>
          <w:tcPr>
            <w:tcW w:type="dxa" w:w="34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Specification ID</w:t>
            </w:r>
          </w:p>
        </w:tc>
        <w:tc>
          <w:tcPr>
            <w:tcW w:type="dxa" w:w="621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TS-12</w:t>
            </w:r>
          </w:p>
        </w:tc>
      </w:tr>
      <w:tr>
        <w:trPr>
          <w:cantSplit/>
          <w:tblHeader w:val="false"/>
        </w:trPr>
        <w:tc>
          <w:tcPr>
            <w:tcW w:type="dxa" w:w="34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Version / Status</w:t>
            </w:r>
          </w:p>
        </w:tc>
        <w:tc>
          <w:tcPr>
            <w:tcW w:type="dxa" w:w="621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1.0 / Draft for architecture review</w:t>
            </w:r>
          </w:p>
        </w:tc>
      </w:tr>
      <w:tr>
        <w:trPr>
          <w:cantSplit/>
          <w:tblHeader w:val="false"/>
        </w:trPr>
        <w:tc>
          <w:tcPr>
            <w:tcW w:type="dxa" w:w="34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Date</w:t>
            </w:r>
          </w:p>
        </w:tc>
        <w:tc>
          <w:tcPr>
            <w:tcW w:type="dxa" w:w="621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14 October 2026</w:t>
            </w:r>
          </w:p>
        </w:tc>
      </w:tr>
      <w:tr>
        <w:trPr>
          <w:cantSplit/>
          <w:tblHeader w:val="false"/>
        </w:trPr>
        <w:tc>
          <w:tcPr>
            <w:tcW w:type="dxa" w:w="34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Author</w:t>
            </w:r>
          </w:p>
        </w:tc>
        <w:tc>
          <w:tcPr>
            <w:tcW w:type="dxa" w:w="621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Sakul Gupta</w:t>
            </w:r>
          </w:p>
        </w:tc>
      </w:tr>
      <w:tr>
        <w:trPr>
          <w:cantSplit/>
          <w:tblHeader w:val="false"/>
        </w:trPr>
        <w:tc>
          <w:tcPr>
            <w:tcW w:type="dxa" w:w="34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Source white paper sections</w:t>
            </w:r>
          </w:p>
        </w:tc>
        <w:tc>
          <w:tcPr>
            <w:tcW w:type="dxa" w:w="621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13C Scalability &amp; Elastic Capacity Management · TD-01 (Pipeline Throughput Design Target)</w:t>
            </w:r>
          </w:p>
        </w:tc>
      </w:tr>
      <w:tr>
        <w:trPr>
          <w:cantSplit/>
          <w:tblHeader w:val="false"/>
        </w:trPr>
        <w:tc>
          <w:tcPr>
            <w:tcW w:type="dxa" w:w="34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Depends on</w:t>
            </w:r>
          </w:p>
        </w:tc>
        <w:tc>
          <w:tcPr>
            <w:tcW w:type="dxa" w:w="621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TS-09</w:t>
            </w:r>
          </w:p>
        </w:tc>
      </w:tr>
      <w:tr>
        <w:trPr>
          <w:cantSplit/>
          <w:tblHeader w:val="false"/>
        </w:trPr>
        <w:tc>
          <w:tcPr>
            <w:tcW w:type="dxa" w:w="34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Deployment context</w:t>
            </w:r>
          </w:p>
        </w:tc>
        <w:tc>
          <w:tcPr>
            <w:tcW w:type="dxa" w:w="621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Industry-neutral; regulated-industry controls exposed as configuration</w:t>
            </w:r>
          </w:p>
        </w:tc>
      </w:tr>
      <w:tr>
        <w:trPr>
          <w:cantSplit/>
          <w:tblHeader w:val="false"/>
        </w:trPr>
        <w:tc>
          <w:tcPr>
            <w:tcW w:type="dxa" w:w="34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Document structure</w:t>
            </w:r>
          </w:p>
        </w:tc>
        <w:tc>
          <w:tcPr>
            <w:tcW w:type="dxa" w:w="621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Part A — Design-level specification · Part B — Low-level (build-ready) specification</w:t>
            </w:r>
          </w:p>
        </w:tc>
      </w:tr>
    </w:tbl>
    <w:p>
      <w:r>
        <w:br w:type="page"/>
      </w:r>
    </w:p>
    <w:p>
      <w:pPr>
        <w:pStyle w:val="Heading1"/>
      </w:pPr>
      <w:r>
        <w:t xml:space="preserve">Contents</w:t>
      </w:r>
    </w:p>
    <w:p>
      <w:pPr>
        <w:spacing w:after="20" w:before="200"/>
      </w:pPr>
      <w:r>
        <w:rPr>
          <w:b/>
          <w:bCs/>
          <w:color w:val="1F3A5F"/>
          <w:sz w:val="20"/>
          <w:szCs w:val="20"/>
        </w:rPr>
        <w:t xml:space="preserve">PART A — DESIGN-LEVEL SPECIFICATION</w:t>
      </w:r>
    </w:p>
    <w:p>
      <w:pPr>
        <w:spacing w:after="20" w:before="60"/>
      </w:pPr>
      <w:r>
        <w:rPr>
          <w:b w:val="false"/>
          <w:bCs w:val="false"/>
          <w:color w:val="1F2937"/>
          <w:sz w:val="19"/>
          <w:szCs w:val="19"/>
        </w:rPr>
        <w:t xml:space="preserve">1. Purpose and Scope</w:t>
      </w:r>
    </w:p>
    <w:p>
      <w:pPr>
        <w:spacing w:after="20" w:before="60"/>
      </w:pPr>
      <w:r>
        <w:rPr>
          <w:b w:val="false"/>
          <w:bCs w:val="false"/>
          <w:color w:val="1F2937"/>
          <w:sz w:val="19"/>
          <w:szCs w:val="19"/>
        </w:rPr>
        <w:t xml:space="preserve">2. Capacity Model</w:t>
      </w:r>
    </w:p>
    <w:p>
      <w:pPr>
        <w:spacing w:after="20" w:before="60"/>
      </w:pPr>
      <w:r>
        <w:rPr>
          <w:b w:val="false"/>
          <w:bCs w:val="false"/>
          <w:color w:val="1F2937"/>
          <w:sz w:val="19"/>
          <w:szCs w:val="19"/>
        </w:rPr>
        <w:t xml:space="preserve">3. Key Design Decisions</w:t>
      </w:r>
    </w:p>
    <w:p>
      <w:pPr>
        <w:spacing w:after="20" w:before="60"/>
      </w:pPr>
      <w:r>
        <w:rPr>
          <w:b w:val="false"/>
          <w:bCs w:val="false"/>
          <w:color w:val="1F2937"/>
          <w:sz w:val="19"/>
          <w:szCs w:val="19"/>
        </w:rPr>
        <w:t xml:space="preserve">4. Non-Functional Requirements</w:t>
      </w:r>
    </w:p>
    <w:p>
      <w:pPr>
        <w:spacing w:after="20" w:before="200"/>
      </w:pPr>
      <w:r>
        <w:rPr>
          <w:b/>
          <w:bCs/>
          <w:color w:val="1F3A5F"/>
          <w:sz w:val="20"/>
          <w:szCs w:val="20"/>
        </w:rPr>
        <w:t xml:space="preserve">PART B — LOW-LEVEL SPECIFICATION</w:t>
      </w:r>
    </w:p>
    <w:p>
      <w:pPr>
        <w:spacing w:after="20" w:before="60"/>
      </w:pPr>
      <w:r>
        <w:rPr>
          <w:b w:val="false"/>
          <w:bCs w:val="false"/>
          <w:color w:val="1F2937"/>
          <w:sz w:val="19"/>
          <w:szCs w:val="19"/>
        </w:rPr>
        <w:t xml:space="preserve">5. Per-Component Scaling Policies</w:t>
      </w:r>
    </w:p>
    <w:p>
      <w:pPr>
        <w:spacing w:after="10"/>
        <w:ind w:left="360"/>
      </w:pPr>
      <w:r>
        <w:rPr>
          <w:color w:val="595959"/>
          <w:sz w:val="17"/>
          <w:szCs w:val="17"/>
        </w:rPr>
        <w:t xml:space="preserve">5.1 Example KEDA ScaledObject (Flink TaskManagers)</w:t>
      </w:r>
    </w:p>
    <w:p>
      <w:pPr>
        <w:spacing w:after="20" w:before="60"/>
      </w:pPr>
      <w:r>
        <w:rPr>
          <w:b w:val="false"/>
          <w:bCs w:val="false"/>
          <w:color w:val="1F2937"/>
          <w:sz w:val="19"/>
          <w:szCs w:val="19"/>
        </w:rPr>
        <w:t xml:space="preserve">6. Kafka Elasticity</w:t>
      </w:r>
    </w:p>
    <w:p>
      <w:pPr>
        <w:spacing w:after="20" w:before="60"/>
      </w:pPr>
      <w:r>
        <w:rPr>
          <w:b w:val="false"/>
          <w:bCs w:val="false"/>
          <w:color w:val="1F2937"/>
          <w:sz w:val="19"/>
          <w:szCs w:val="19"/>
        </w:rPr>
        <w:t xml:space="preserve">7. Flink Scaling</w:t>
      </w:r>
    </w:p>
    <w:p>
      <w:pPr>
        <w:spacing w:after="20" w:before="60"/>
      </w:pPr>
      <w:r>
        <w:rPr>
          <w:b w:val="false"/>
          <w:bCs w:val="false"/>
          <w:color w:val="1F2937"/>
          <w:sz w:val="19"/>
          <w:szCs w:val="19"/>
        </w:rPr>
        <w:t xml:space="preserve">8. Redis Feature Store Scaling</w:t>
      </w:r>
    </w:p>
    <w:p>
      <w:pPr>
        <w:spacing w:after="20" w:before="60"/>
      </w:pPr>
      <w:r>
        <w:rPr>
          <w:b w:val="false"/>
          <w:bCs w:val="false"/>
          <w:color w:val="1F2937"/>
          <w:sz w:val="19"/>
          <w:szCs w:val="19"/>
        </w:rPr>
        <w:t xml:space="preserve">9. Inference Scaling</w:t>
      </w:r>
    </w:p>
    <w:p>
      <w:pPr>
        <w:spacing w:after="20" w:before="60"/>
      </w:pPr>
      <w:r>
        <w:rPr>
          <w:b w:val="false"/>
          <w:bCs w:val="false"/>
          <w:color w:val="1F2937"/>
          <w:sz w:val="19"/>
          <w:szCs w:val="19"/>
        </w:rPr>
        <w:t xml:space="preserve">10. Predictive Pre-Scaling</w:t>
      </w:r>
    </w:p>
    <w:p>
      <w:pPr>
        <w:spacing w:after="20" w:before="60"/>
      </w:pPr>
      <w:r>
        <w:rPr>
          <w:b w:val="false"/>
          <w:bCs w:val="false"/>
          <w:color w:val="1F2937"/>
          <w:sz w:val="19"/>
          <w:szCs w:val="19"/>
        </w:rPr>
        <w:t xml:space="preserve">11. Storage Tier Lifecycle</w:t>
      </w:r>
    </w:p>
    <w:p>
      <w:pPr>
        <w:spacing w:after="20" w:before="60"/>
      </w:pPr>
      <w:r>
        <w:rPr>
          <w:b w:val="false"/>
          <w:bCs w:val="false"/>
          <w:color w:val="1F2937"/>
          <w:sz w:val="19"/>
          <w:szCs w:val="19"/>
        </w:rPr>
        <w:t xml:space="preserve">12. Cluster Autoscaling</w:t>
      </w:r>
    </w:p>
    <w:p>
      <w:pPr>
        <w:spacing w:after="20" w:before="60"/>
      </w:pPr>
      <w:r>
        <w:rPr>
          <w:b w:val="false"/>
          <w:bCs w:val="false"/>
          <w:color w:val="1F2937"/>
          <w:sz w:val="19"/>
          <w:szCs w:val="19"/>
        </w:rPr>
        <w:t xml:space="preserve">13. Failure Modes</w:t>
      </w:r>
    </w:p>
    <w:p>
      <w:pPr>
        <w:spacing w:after="20" w:before="60"/>
      </w:pPr>
      <w:r>
        <w:rPr>
          <w:b w:val="false"/>
          <w:bCs w:val="false"/>
          <w:color w:val="1F2937"/>
          <w:sz w:val="19"/>
          <w:szCs w:val="19"/>
        </w:rPr>
        <w:t xml:space="preserve">14. Acceptance Criteria</w:t>
      </w:r>
    </w:p>
    <w:p>
      <w:pPr>
        <w:spacing w:after="20" w:before="60"/>
      </w:pPr>
      <w:r>
        <w:rPr>
          <w:b w:val="false"/>
          <w:bCs w:val="false"/>
          <w:color w:val="1F2937"/>
          <w:sz w:val="19"/>
          <w:szCs w:val="19"/>
        </w:rPr>
        <w:t xml:space="preserve">15. Assumptions and Open Issues</w:t>
      </w:r>
    </w:p>
    <w:p>
      <w:r>
        <w:br w:type="page"/>
      </w:r>
    </w:p>
    <w:p>
      <w:pPr>
        <w:pStyle w:val="Heading1"/>
        <w:pBdr>
          <w:left w:val="single" w:color="1F3A5F" w:sz="24" w:space="6"/>
        </w:pBdr>
        <w:shd w:fill="EAF1F8" w:color="auto" w:val="clear"/>
        <w:spacing w:after="200" w:before="480"/>
      </w:pPr>
      <w:r>
        <w:t xml:space="preserve">PART A — DESIGN-LEVEL SPECIFICATION</w:t>
      </w:r>
    </w:p>
    <w:p>
      <w:pPr>
        <w:pStyle w:val="Heading1"/>
      </w:pPr>
      <w:r>
        <w:t xml:space="preserve">1. Purpose and Scope</w:t>
      </w:r>
    </w:p>
    <w:p>
      <w:pPr>
        <w:spacing w:after="120"/>
      </w:pPr>
      <w:r>
        <w:t xml:space="preserve">Every layer scales independently on observable metrics, within policy bounds, without architectural change or interruption. This specification gives the capacity model, scaling triggers and limits, storage lifecycle policies, and the predictive scaler. Placement and HA are in TS-09.</w:t>
      </w:r>
    </w:p>
    <w:p>
      <w:pPr>
        <w:pStyle w:val="Heading1"/>
      </w:pPr>
      <w:r>
        <w:t xml:space="preserve">2. Capacity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3"/>
        <w:gridCol w:w="2422"/>
        <w:gridCol w:w="1370"/>
        <w:gridCol w:w="1412"/>
        <w:gridCol w:w="2111"/>
      </w:tblGrid>
      <w:tr>
        <w:trPr>
          <w:cantSplit/>
          <w:tblHeader/>
        </w:trPr>
        <w:tc>
          <w:tcPr>
            <w:tcW w:type="dxa" w:w="232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Dimension</w:t>
            </w:r>
          </w:p>
        </w:tc>
        <w:tc>
          <w:tcPr>
            <w:tcW w:type="dxa" w:w="2422"/>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Baseline</w:t>
            </w:r>
          </w:p>
        </w:tc>
        <w:tc>
          <w:tcPr>
            <w:tcW w:type="dxa" w:w="137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Burst</w:t>
            </w:r>
          </w:p>
        </w:tc>
        <w:tc>
          <w:tcPr>
            <w:tcW w:type="dxa" w:w="1412"/>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Month-12 planning</w:t>
            </w:r>
          </w:p>
        </w:tc>
        <w:tc>
          <w:tcPr>
            <w:tcW w:type="dxa" w:w="2111"/>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Design ceiling without re-architecture</w:t>
            </w:r>
          </w:p>
        </w:tc>
      </w:tr>
      <w:tr>
        <w:trPr>
          <w:cantSplit/>
          <w:tblHeader w:val="false"/>
        </w:trPr>
        <w:tc>
          <w:tcPr>
            <w:tcW w:type="dxa" w:w="23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Raw ingest</w:t>
            </w:r>
          </w:p>
        </w:tc>
        <w:tc>
          <w:tcPr>
            <w:tcW w:type="dxa" w:w="24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500k eps</w:t>
            </w:r>
          </w:p>
        </w:tc>
        <w:tc>
          <w:tcPr>
            <w:tcW w:type="dxa" w:w="137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2M eps (15 min+)</w:t>
            </w:r>
          </w:p>
        </w:tc>
        <w:tc>
          <w:tcPr>
            <w:tcW w:type="dxa" w:w="14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750k eps</w:t>
            </w:r>
          </w:p>
        </w:tc>
        <w:tc>
          <w:tcPr>
            <w:tcW w:type="dxa" w:w="211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2M eps sustained</w:t>
            </w:r>
          </w:p>
        </w:tc>
      </w:tr>
      <w:tr>
        <w:trPr>
          <w:cantSplit/>
          <w:tblHeader w:val="false"/>
        </w:trPr>
        <w:tc>
          <w:tcPr>
            <w:tcW w:type="dxa" w:w="23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Average raw event size (compressed)</w:t>
            </w:r>
          </w:p>
        </w:tc>
        <w:tc>
          <w:tcPr>
            <w:tcW w:type="dxa" w:w="242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350 B</w:t>
            </w:r>
          </w:p>
        </w:tc>
        <w:tc>
          <w:tcPr>
            <w:tcW w:type="dxa" w:w="137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t>
            </w:r>
          </w:p>
        </w:tc>
        <w:tc>
          <w:tcPr>
            <w:tcW w:type="dxa" w:w="141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t>
            </w:r>
          </w:p>
        </w:tc>
        <w:tc>
          <w:tcPr>
            <w:tcW w:type="dxa" w:w="211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t>
            </w:r>
          </w:p>
        </w:tc>
      </w:tr>
      <w:tr>
        <w:trPr>
          <w:cantSplit/>
          <w:tblHeader w:val="false"/>
        </w:trPr>
        <w:tc>
          <w:tcPr>
            <w:tcW w:type="dxa" w:w="23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Raw ingest bandwidth</w:t>
            </w:r>
          </w:p>
        </w:tc>
        <w:tc>
          <w:tcPr>
            <w:tcW w:type="dxa" w:w="24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 175 MB/s</w:t>
            </w:r>
          </w:p>
        </w:tc>
        <w:tc>
          <w:tcPr>
            <w:tcW w:type="dxa" w:w="137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 700 MB/s</w:t>
            </w:r>
          </w:p>
        </w:tc>
        <w:tc>
          <w:tcPr>
            <w:tcW w:type="dxa" w:w="14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t>
            </w:r>
          </w:p>
        </w:tc>
        <w:tc>
          <w:tcPr>
            <w:tcW w:type="dxa" w:w="211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t>
            </w:r>
          </w:p>
        </w:tc>
      </w:tr>
      <w:tr>
        <w:trPr>
          <w:cantSplit/>
          <w:tblHeader w:val="false"/>
        </w:trPr>
        <w:tc>
          <w:tcPr>
            <w:tcW w:type="dxa" w:w="23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Monitored entities</w:t>
            </w:r>
          </w:p>
        </w:tc>
        <w:tc>
          <w:tcPr>
            <w:tcW w:type="dxa" w:w="242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120k</w:t>
            </w:r>
          </w:p>
        </w:tc>
        <w:tc>
          <w:tcPr>
            <w:tcW w:type="dxa" w:w="137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t>
            </w:r>
          </w:p>
        </w:tc>
        <w:tc>
          <w:tcPr>
            <w:tcW w:type="dxa" w:w="141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200k</w:t>
            </w:r>
          </w:p>
        </w:tc>
        <w:tc>
          <w:tcPr>
            <w:tcW w:type="dxa" w:w="211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500k</w:t>
            </w:r>
          </w:p>
        </w:tc>
      </w:tr>
      <w:tr>
        <w:trPr>
          <w:cantSplit/>
          <w:tblHeader w:val="false"/>
        </w:trPr>
        <w:tc>
          <w:tcPr>
            <w:tcW w:type="dxa" w:w="23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Feature vectors/s (all windows)</w:t>
            </w:r>
          </w:p>
        </w:tc>
        <w:tc>
          <w:tcPr>
            <w:tcW w:type="dxa" w:w="24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 9k</w:t>
            </w:r>
          </w:p>
        </w:tc>
        <w:tc>
          <w:tcPr>
            <w:tcW w:type="dxa" w:w="137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 20k</w:t>
            </w:r>
          </w:p>
        </w:tc>
        <w:tc>
          <w:tcPr>
            <w:tcW w:type="dxa" w:w="14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15k</w:t>
            </w:r>
          </w:p>
        </w:tc>
        <w:tc>
          <w:tcPr>
            <w:tcW w:type="dxa" w:w="211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50k</w:t>
            </w:r>
          </w:p>
        </w:tc>
      </w:tr>
      <w:tr>
        <w:trPr>
          <w:cantSplit/>
          <w:tblHeader w:val="false"/>
        </w:trPr>
        <w:tc>
          <w:tcPr>
            <w:tcW w:type="dxa" w:w="23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Detections/s</w:t>
            </w:r>
          </w:p>
        </w:tc>
        <w:tc>
          <w:tcPr>
            <w:tcW w:type="dxa" w:w="242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 300</w:t>
            </w:r>
          </w:p>
        </w:tc>
        <w:tc>
          <w:tcPr>
            <w:tcW w:type="dxa" w:w="137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 3k</w:t>
            </w:r>
          </w:p>
        </w:tc>
        <w:tc>
          <w:tcPr>
            <w:tcW w:type="dxa" w:w="141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t>
            </w:r>
          </w:p>
        </w:tc>
        <w:tc>
          <w:tcPr>
            <w:tcW w:type="dxa" w:w="211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t>
            </w:r>
          </w:p>
        </w:tc>
      </w:tr>
      <w:tr>
        <w:trPr>
          <w:cantSplit/>
          <w:tblHeader w:val="false"/>
        </w:trPr>
        <w:tc>
          <w:tcPr>
            <w:tcW w:type="dxa" w:w="232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Incidents/hour</w:t>
            </w:r>
          </w:p>
        </w:tc>
        <w:tc>
          <w:tcPr>
            <w:tcW w:type="dxa" w:w="24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 20</w:t>
            </w:r>
          </w:p>
        </w:tc>
        <w:tc>
          <w:tcPr>
            <w:tcW w:type="dxa" w:w="137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 300 (storm)</w:t>
            </w:r>
          </w:p>
        </w:tc>
        <w:tc>
          <w:tcPr>
            <w:tcW w:type="dxa" w:w="14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t>
            </w:r>
          </w:p>
        </w:tc>
        <w:tc>
          <w:tcPr>
            <w:tcW w:type="dxa" w:w="211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t>
            </w:r>
          </w:p>
        </w:tc>
      </w:tr>
      <w:tr>
        <w:trPr>
          <w:cantSplit/>
          <w:tblHeader w:val="false"/>
        </w:trPr>
        <w:tc>
          <w:tcPr>
            <w:tcW w:type="dxa" w:w="232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Kafka local storage (12 h local of 72 h, RF 3)</w:t>
            </w:r>
          </w:p>
        </w:tc>
        <w:tc>
          <w:tcPr>
            <w:tcW w:type="dxa" w:w="242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 21 TiB local; remainder tiered to object storage</w:t>
            </w:r>
          </w:p>
        </w:tc>
        <w:tc>
          <w:tcPr>
            <w:tcW w:type="dxa" w:w="137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t>
            </w:r>
          </w:p>
        </w:tc>
        <w:tc>
          <w:tcPr>
            <w:tcW w:type="dxa" w:w="141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t>
            </w:r>
          </w:p>
        </w:tc>
        <w:tc>
          <w:tcPr>
            <w:tcW w:type="dxa" w:w="211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t>
            </w:r>
          </w:p>
        </w:tc>
      </w:tr>
    </w:tbl>
    <w:p>
      <w:pPr>
        <w:spacing w:after="80"/>
      </w:pPr>
    </w:p>
    <w:p>
      <w:pPr>
        <w:spacing w:after="120"/>
      </w:pPr>
      <w:r>
        <w:t xml:space="preserve">Sizing rule of thumb: each Flink TaskManager slot (2 per TM) handles ≈ 12–15k eps for stages 1–2; each inference replica handles ≈ 2k vectors/s at P99 ≤ 50 ms on CPU.</w:t>
      </w:r>
    </w:p>
    <w:p>
      <w:pPr>
        <w:pStyle w:val="Heading1"/>
      </w:pPr>
      <w:r>
        <w:t xml:space="preserve">3. Key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Decision</w:t>
            </w:r>
          </w:p>
        </w:tc>
        <w:tc>
          <w:tcPr>
            <w:tcW w:type="dxa" w:w="481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Rationale</w:t>
            </w:r>
          </w:p>
        </w:tc>
      </w:tr>
      <w:tr>
        <w:trPr>
          <w:cantSplit/>
          <w:tblHeader w:val="false"/>
        </w:trPr>
        <w:tc>
          <w:tcPr>
            <w:tcW w:type="dxa" w:w="48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Scale on work-queue metrics (lag, queue depth) rather than CPU alone</w:t>
            </w:r>
          </w:p>
        </w:tc>
        <w:tc>
          <w:tcPr>
            <w:tcW w:type="dxa" w:w="48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Lag reflects user-visible delay; CPU lags behind bursts</w:t>
            </w:r>
          </w:p>
        </w:tc>
      </w:tr>
      <w:tr>
        <w:trPr>
          <w:cantSplit/>
          <w:tblHeader w:val="false"/>
        </w:trPr>
        <w:tc>
          <w:tcPr>
            <w:tcW w:type="dxa" w:w="481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KEDA for event-driven scalers; HPA v2 for resource metrics</w:t>
            </w:r>
          </w:p>
        </w:tc>
        <w:tc>
          <w:tcPr>
            <w:tcW w:type="dxa" w:w="481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Native Kafka/Prometheus triggers</w:t>
            </w:r>
          </w:p>
        </w:tc>
      </w:tr>
      <w:tr>
        <w:trPr>
          <w:cantSplit/>
          <w:tblHeader w:val="false"/>
        </w:trPr>
        <w:tc>
          <w:tcPr>
            <w:tcW w:type="dxa" w:w="48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Flink reactive mode</w:t>
            </w:r>
          </w:p>
        </w:tc>
        <w:tc>
          <w:tcPr>
            <w:tcW w:type="dxa" w:w="48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Parallelism follows TaskManager count without job redeploy</w:t>
            </w:r>
          </w:p>
        </w:tc>
      </w:tr>
      <w:tr>
        <w:trPr>
          <w:cantSplit/>
          <w:tblHeader w:val="false"/>
        </w:trPr>
        <w:tc>
          <w:tcPr>
            <w:tcW w:type="dxa" w:w="481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Over-partition Kafka 2× from day one</w:t>
            </w:r>
          </w:p>
        </w:tc>
        <w:tc>
          <w:tcPr>
            <w:tcW w:type="dxa" w:w="481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Avoid partition reassignment under load</w:t>
            </w:r>
          </w:p>
        </w:tc>
      </w:tr>
      <w:tr>
        <w:trPr>
          <w:cantSplit/>
          <w:tblHeader w:val="false"/>
        </w:trPr>
        <w:tc>
          <w:tcPr>
            <w:tcW w:type="dxa" w:w="48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Predictive pre-scaling 10 min ahead</w:t>
            </w:r>
          </w:p>
        </w:tc>
        <w:tc>
          <w:tcPr>
            <w:tcW w:type="dxa" w:w="48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Absorb predictable peaks (business hours, batch windows) without lag</w:t>
            </w:r>
          </w:p>
        </w:tc>
      </w:tr>
    </w:tbl>
    <w:p>
      <w:pPr>
        <w:spacing w:after="80"/>
      </w:pPr>
    </w:p>
    <w:p>
      <w:pPr>
        <w:pStyle w:val="Heading1"/>
      </w:pPr>
      <w:r>
        <w:t xml:space="preserve">4.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7081"/>
      </w:tblGrid>
      <w:tr>
        <w:trPr>
          <w:cantSplit/>
          <w:tblHeader/>
        </w:trPr>
        <w:tc>
          <w:tcPr>
            <w:tcW w:type="dxa" w:w="2557"/>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ID</w:t>
            </w:r>
          </w:p>
        </w:tc>
        <w:tc>
          <w:tcPr>
            <w:tcW w:type="dxa" w:w="7081"/>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Requirement</w:t>
            </w:r>
          </w:p>
        </w:tc>
      </w:tr>
      <w:tr>
        <w:trPr>
          <w:cantSplit/>
          <w:tblHeader w:val="false"/>
        </w:trPr>
        <w:tc>
          <w:tcPr>
            <w:tcW w:type="dxa" w:w="255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TS12-NFR-001</w:t>
            </w:r>
          </w:p>
        </w:tc>
        <w:tc>
          <w:tcPr>
            <w:tcW w:type="dxa" w:w="708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Scale-out reaction ≤ 2 min from trigger to new capacity serving (stateless), ≤ 5 min (Flink)</w:t>
            </w:r>
          </w:p>
        </w:tc>
      </w:tr>
      <w:tr>
        <w:trPr>
          <w:cantSplit/>
          <w:tblHeader w:val="false"/>
        </w:trPr>
        <w:tc>
          <w:tcPr>
            <w:tcW w:type="dxa" w:w="255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TS12-NFR-002</w:t>
            </w:r>
          </w:p>
        </w:tc>
        <w:tc>
          <w:tcPr>
            <w:tcW w:type="dxa" w:w="708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No data loss or duplicate side-effects during any scale event</w:t>
            </w:r>
          </w:p>
        </w:tc>
      </w:tr>
      <w:tr>
        <w:trPr>
          <w:cantSplit/>
          <w:tblHeader w:val="false"/>
        </w:trPr>
        <w:tc>
          <w:tcPr>
            <w:tcW w:type="dxa" w:w="255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TS12-NFR-003</w:t>
            </w:r>
          </w:p>
        </w:tc>
        <w:tc>
          <w:tcPr>
            <w:tcW w:type="dxa" w:w="708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Scale-in protected by stabilisation windows to avoid flapping</w:t>
            </w:r>
          </w:p>
        </w:tc>
      </w:tr>
    </w:tbl>
    <w:p>
      <w:pPr>
        <w:spacing w:after="80"/>
      </w:pPr>
    </w:p>
    <w:p>
      <w:pPr>
        <w:pStyle w:val="Heading1"/>
        <w:pBdr>
          <w:left w:val="single" w:color="1F3A5F" w:sz="24" w:space="6"/>
        </w:pBdr>
        <w:shd w:fill="EAF1F8" w:color="auto" w:val="clear"/>
        <w:spacing w:after="200" w:before="480"/>
      </w:pPr>
      <w:r>
        <w:t xml:space="preserve">PART B — LOW-LEVEL SPECIFICATION</w:t>
      </w:r>
    </w:p>
    <w:p>
      <w:pPr>
        <w:pStyle w:val="Heading1"/>
      </w:pPr>
      <w:r>
        <w:t xml:space="preserve">5. Per-Component Scaling Policies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747"/>
        <w:gridCol w:w="1534"/>
        <w:gridCol w:w="1644"/>
        <w:gridCol w:w="1353"/>
        <w:gridCol w:w="1914"/>
      </w:tblGrid>
      <w:tr>
        <w:trPr>
          <w:cantSplit/>
          <w:tblHeader/>
        </w:trPr>
        <w:tc>
          <w:tcPr>
            <w:tcW w:type="dxa" w:w="144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Component</w:t>
            </w:r>
          </w:p>
        </w:tc>
        <w:tc>
          <w:tcPr>
            <w:tcW w:type="dxa" w:w="1747"/>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Mechanism</w:t>
            </w:r>
          </w:p>
        </w:tc>
        <w:tc>
          <w:tcPr>
            <w:tcW w:type="dxa" w:w="153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Metric</w:t>
            </w:r>
          </w:p>
        </w:tc>
        <w:tc>
          <w:tcPr>
            <w:tcW w:type="dxa" w:w="164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Scale-out trigger</w:t>
            </w:r>
          </w:p>
        </w:tc>
        <w:tc>
          <w:tcPr>
            <w:tcW w:type="dxa" w:w="135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Min / Max</w:t>
            </w:r>
          </w:p>
        </w:tc>
        <w:tc>
          <w:tcPr>
            <w:tcW w:type="dxa" w:w="191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Scale-in</w:t>
            </w:r>
          </w:p>
        </w:tc>
      </w:tr>
      <w:tr>
        <w:trPr>
          <w:cantSplit/>
          <w:tblHeader w:val="false"/>
        </w:trPr>
        <w:tc>
          <w:tcPr>
            <w:tcW w:type="dxa" w:w="144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Flink TaskManagers</w:t>
            </w:r>
          </w:p>
        </w:tc>
        <w:tc>
          <w:tcPr>
            <w:tcW w:type="dxa" w:w="17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KEDA (Kafka scaler) + reactive mode</w:t>
            </w:r>
          </w:p>
        </w:tc>
        <w:tc>
          <w:tcPr>
            <w:tcW w:type="dxa" w:w="15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Consumer lag per partition</w:t>
            </w:r>
          </w:p>
        </w:tc>
        <w:tc>
          <w:tcPr>
            <w:tcW w:type="dxa" w:w="164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Lag &gt; 50,000</w:t>
            </w:r>
          </w:p>
        </w:tc>
        <w:tc>
          <w:tcPr>
            <w:tcW w:type="dxa" w:w="13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4 / 32</w:t>
            </w:r>
          </w:p>
        </w:tc>
        <w:tc>
          <w:tcPr>
            <w:tcW w:type="dxa" w:w="191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Lag &lt; 5,000 for 15 min; −1 TM per 5 min</w:t>
            </w:r>
          </w:p>
        </w:tc>
      </w:tr>
      <w:tr>
        <w:trPr>
          <w:cantSplit/>
          <w:tblHeader w:val="false"/>
        </w:trPr>
        <w:tc>
          <w:tcPr>
            <w:tcW w:type="dxa" w:w="144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ML Inference</w:t>
            </w:r>
          </w:p>
        </w:tc>
        <w:tc>
          <w:tcPr>
            <w:tcW w:type="dxa" w:w="174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KEDA (Prometheus)</w:t>
            </w:r>
          </w:p>
        </w:tc>
        <w:tc>
          <w:tcPr>
            <w:tcW w:type="dxa" w:w="153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rFonts w:ascii="Consolas" w:cs="Consolas" w:eastAsia="Consolas" w:hAnsi="Consolas"/>
                <w:color w:val="9B2C2C"/>
                <w:sz w:val="18"/>
                <w:szCs w:val="18"/>
              </w:rPr>
              <w:t xml:space="preserve">inference_queue_depth</w:t>
            </w:r>
          </w:p>
        </w:tc>
        <w:tc>
          <w:tcPr>
            <w:tcW w:type="dxa" w:w="164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&gt; 500 pending</w:t>
            </w:r>
          </w:p>
        </w:tc>
        <w:tc>
          <w:tcPr>
            <w:tcW w:type="dxa" w:w="135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3 / 20</w:t>
            </w:r>
          </w:p>
        </w:tc>
        <w:tc>
          <w:tcPr>
            <w:tcW w:type="dxa" w:w="191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&lt; 100 for 10 min</w:t>
            </w:r>
          </w:p>
        </w:tc>
      </w:tr>
      <w:tr>
        <w:trPr>
          <w:cantSplit/>
          <w:tblHeader w:val="false"/>
        </w:trPr>
        <w:tc>
          <w:tcPr>
            <w:tcW w:type="dxa" w:w="144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Decision Engine</w:t>
            </w:r>
          </w:p>
        </w:tc>
        <w:tc>
          <w:tcPr>
            <w:tcW w:type="dxa" w:w="17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HPA (custom metric)</w:t>
            </w:r>
          </w:p>
        </w:tc>
        <w:tc>
          <w:tcPr>
            <w:tcW w:type="dxa" w:w="15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Processing rate / capacity</w:t>
            </w:r>
          </w:p>
        </w:tc>
        <w:tc>
          <w:tcPr>
            <w:tcW w:type="dxa" w:w="164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&gt; 80%</w:t>
            </w:r>
          </w:p>
        </w:tc>
        <w:tc>
          <w:tcPr>
            <w:tcW w:type="dxa" w:w="13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3 / 12</w:t>
            </w:r>
          </w:p>
        </w:tc>
        <w:tc>
          <w:tcPr>
            <w:tcW w:type="dxa" w:w="191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&lt; 40% for 10 min</w:t>
            </w:r>
          </w:p>
        </w:tc>
      </w:tr>
      <w:tr>
        <w:trPr>
          <w:cantSplit/>
          <w:tblHeader w:val="false"/>
        </w:trPr>
        <w:tc>
          <w:tcPr>
            <w:tcW w:type="dxa" w:w="144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Feature Store (Redis)</w:t>
            </w:r>
          </w:p>
        </w:tc>
        <w:tc>
          <w:tcPr>
            <w:tcW w:type="dxa" w:w="174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Operator + custom controller</w:t>
            </w:r>
          </w:p>
        </w:tc>
        <w:tc>
          <w:tcPr>
            <w:tcW w:type="dxa" w:w="153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Memory %, ops/s per node</w:t>
            </w:r>
          </w:p>
        </w:tc>
        <w:tc>
          <w:tcPr>
            <w:tcW w:type="dxa" w:w="164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Memory &gt; 75% OR ops &gt; 200k/node</w:t>
            </w:r>
          </w:p>
        </w:tc>
        <w:tc>
          <w:tcPr>
            <w:tcW w:type="dxa" w:w="135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6 / 18 primaries</w:t>
            </w:r>
          </w:p>
        </w:tc>
        <w:tc>
          <w:tcPr>
            <w:tcW w:type="dxa" w:w="191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Manual approval only (slot migration cost)</w:t>
            </w:r>
          </w:p>
        </w:tc>
      </w:tr>
      <w:tr>
        <w:trPr>
          <w:cantSplit/>
          <w:tblHeader w:val="false"/>
        </w:trPr>
        <w:tc>
          <w:tcPr>
            <w:tcW w:type="dxa" w:w="144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Feature Service</w:t>
            </w:r>
          </w:p>
        </w:tc>
        <w:tc>
          <w:tcPr>
            <w:tcW w:type="dxa" w:w="17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HPA</w:t>
            </w:r>
          </w:p>
        </w:tc>
        <w:tc>
          <w:tcPr>
            <w:tcW w:type="dxa" w:w="15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CPU + RPS</w:t>
            </w:r>
          </w:p>
        </w:tc>
        <w:tc>
          <w:tcPr>
            <w:tcW w:type="dxa" w:w="164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CPU &gt; 60%</w:t>
            </w:r>
          </w:p>
        </w:tc>
        <w:tc>
          <w:tcPr>
            <w:tcW w:type="dxa" w:w="13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3 / 12</w:t>
            </w:r>
          </w:p>
        </w:tc>
        <w:tc>
          <w:tcPr>
            <w:tcW w:type="dxa" w:w="191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CPU &lt; 30% 10 min</w:t>
            </w:r>
          </w:p>
        </w:tc>
      </w:tr>
      <w:tr>
        <w:trPr>
          <w:cantSplit/>
          <w:tblHeader w:val="false"/>
        </w:trPr>
        <w:tc>
          <w:tcPr>
            <w:tcW w:type="dxa" w:w="144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API Gateway</w:t>
            </w:r>
          </w:p>
        </w:tc>
        <w:tc>
          <w:tcPr>
            <w:tcW w:type="dxa" w:w="174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HPA</w:t>
            </w:r>
          </w:p>
        </w:tc>
        <w:tc>
          <w:tcPr>
            <w:tcW w:type="dxa" w:w="153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CPU, active connections</w:t>
            </w:r>
          </w:p>
        </w:tc>
        <w:tc>
          <w:tcPr>
            <w:tcW w:type="dxa" w:w="164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CPU &gt; 60% for 2 min</w:t>
            </w:r>
          </w:p>
        </w:tc>
        <w:tc>
          <w:tcPr>
            <w:tcW w:type="dxa" w:w="135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2 / 8</w:t>
            </w:r>
          </w:p>
        </w:tc>
        <w:tc>
          <w:tcPr>
            <w:tcW w:type="dxa" w:w="191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CPU &lt; 30% 10 min</w:t>
            </w:r>
          </w:p>
        </w:tc>
      </w:tr>
      <w:tr>
        <w:trPr>
          <w:cantSplit/>
          <w:tblHeader w:val="false"/>
        </w:trPr>
        <w:tc>
          <w:tcPr>
            <w:tcW w:type="dxa" w:w="144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ITSM integration workers</w:t>
            </w:r>
          </w:p>
        </w:tc>
        <w:tc>
          <w:tcPr>
            <w:tcW w:type="dxa" w:w="17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KEDA (PostgreSQL scaler)</w:t>
            </w:r>
          </w:p>
        </w:tc>
        <w:tc>
          <w:tcPr>
            <w:tcW w:type="dxa" w:w="15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Outbox pending</w:t>
            </w:r>
          </w:p>
        </w:tc>
        <w:tc>
          <w:tcPr>
            <w:tcW w:type="dxa" w:w="164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&gt; 200 pending</w:t>
            </w:r>
          </w:p>
        </w:tc>
        <w:tc>
          <w:tcPr>
            <w:tcW w:type="dxa" w:w="13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2 / 10</w:t>
            </w:r>
          </w:p>
        </w:tc>
        <w:tc>
          <w:tcPr>
            <w:tcW w:type="dxa" w:w="191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&lt; 20 for 10 min</w:t>
            </w:r>
          </w:p>
        </w:tc>
      </w:tr>
      <w:tr>
        <w:trPr>
          <w:cantSplit/>
          <w:tblHeader w:val="false"/>
        </w:trPr>
        <w:tc>
          <w:tcPr>
            <w:tcW w:type="dxa" w:w="144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OTel gateways</w:t>
            </w:r>
          </w:p>
        </w:tc>
        <w:tc>
          <w:tcPr>
            <w:tcW w:type="dxa" w:w="174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HPA</w:t>
            </w:r>
          </w:p>
        </w:tc>
        <w:tc>
          <w:tcPr>
            <w:tcW w:type="dxa" w:w="153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CPU, exporter queue %</w:t>
            </w:r>
          </w:p>
        </w:tc>
        <w:tc>
          <w:tcPr>
            <w:tcW w:type="dxa" w:w="164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CPU &gt; 70% or queue &gt; 50%</w:t>
            </w:r>
          </w:p>
        </w:tc>
        <w:tc>
          <w:tcPr>
            <w:tcW w:type="dxa" w:w="135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6 / 24</w:t>
            </w:r>
          </w:p>
        </w:tc>
        <w:tc>
          <w:tcPr>
            <w:tcW w:type="dxa" w:w="191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15 min stable</w:t>
            </w:r>
          </w:p>
        </w:tc>
      </w:tr>
      <w:tr>
        <w:trPr>
          <w:cantSplit/>
          <w:tblHeader w:val="false"/>
        </w:trPr>
        <w:tc>
          <w:tcPr>
            <w:tcW w:type="dxa" w:w="144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LLM gateway / RAG</w:t>
            </w:r>
          </w:p>
        </w:tc>
        <w:tc>
          <w:tcPr>
            <w:tcW w:type="dxa" w:w="17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KEDA</w:t>
            </w:r>
          </w:p>
        </w:tc>
        <w:tc>
          <w:tcPr>
            <w:tcW w:type="dxa" w:w="15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Pending enrichment requests</w:t>
            </w:r>
          </w:p>
        </w:tc>
        <w:tc>
          <w:tcPr>
            <w:tcW w:type="dxa" w:w="164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&gt; 50</w:t>
            </w:r>
          </w:p>
        </w:tc>
        <w:tc>
          <w:tcPr>
            <w:tcW w:type="dxa" w:w="135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2 / 12</w:t>
            </w:r>
          </w:p>
        </w:tc>
        <w:tc>
          <w:tcPr>
            <w:tcW w:type="dxa" w:w="191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See TS-13</w:t>
            </w:r>
          </w:p>
        </w:tc>
      </w:tr>
      <w:tr>
        <w:trPr>
          <w:cantSplit/>
          <w:tblHeader w:val="false"/>
        </w:trPr>
        <w:tc>
          <w:tcPr>
            <w:tcW w:type="dxa" w:w="144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Agents</w:t>
            </w:r>
          </w:p>
        </w:tc>
        <w:tc>
          <w:tcPr>
            <w:tcW w:type="dxa" w:w="174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KEDA</w:t>
            </w:r>
          </w:p>
        </w:tc>
        <w:tc>
          <w:tcPr>
            <w:tcW w:type="dxa" w:w="153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Open tasks per agent type</w:t>
            </w:r>
          </w:p>
        </w:tc>
        <w:tc>
          <w:tcPr>
            <w:tcW w:type="dxa" w:w="164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&gt; 20 per replica</w:t>
            </w:r>
          </w:p>
        </w:tc>
        <w:tc>
          <w:tcPr>
            <w:tcW w:type="dxa" w:w="135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2 / 10 per agent type</w:t>
            </w:r>
          </w:p>
        </w:tc>
        <w:tc>
          <w:tcPr>
            <w:tcW w:type="dxa" w:w="191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See TS-14</w:t>
            </w:r>
          </w:p>
        </w:tc>
      </w:tr>
    </w:tbl>
    <w:p>
      <w:pPr>
        <w:spacing w:after="80"/>
      </w:pPr>
    </w:p>
    <w:p>
      <w:pPr>
        <w:pStyle w:val="Heading2"/>
      </w:pPr>
      <w:r>
        <w:t xml:space="preserve">5.1 Example KEDA ScaledObject (Flink TaskManagers)</w:t>
      </w:r>
    </w:p>
    <w:p>
      <w:pPr>
        <w:pBdr>
          <w:top w:val="single" w:color="F3F4F6" w:sz="2" w:space="2"/>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apiVersion: keda.sh/v1alpha1</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kind: ScaledObject</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metadata: { name: flink-ingest-tm, namespace: streaming }</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spec:</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scaleTargetRef: { name: flink-ingest-taskmanager }</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minReplicaCount: 4</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maxReplicaCount: 32</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cooldownPeriod: 900</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advanced:</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horizontalPodAutoscalerConfig:</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behavior:</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scaleUp:   { stabilizationWindowSeconds: 0,   policies: [ { type: Pods, value: 4, periodSeconds: 60 } ] }</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scaleDown: { stabilizationWindowSeconds: 900, policies: [ { type: Pods, value: 1, periodSeconds: 300 } ] }</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triggers:</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 type: kafka</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metadata:</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bootstrapServers: kafka-bootstrap.streaming:9093</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consumerGroup: cg-ingest-aggregate</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topic: raw.application</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lagThreshold: "50000"</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allowIdleConsumers: "false"</w:t>
      </w:r>
    </w:p>
    <w:p>
      <w:pPr>
        <w:pBdr>
          <w:left w:val="single" w:color="2E75B6" w:sz="12" w:space="6"/>
        </w:pBdr>
        <w:shd w:fill="F3F4F6" w:color="auto" w:val="clear"/>
        <w:spacing w:after="160" w:before="0" w:line="240"/>
        <w:ind w:left="120"/>
      </w:pPr>
      <w:r>
        <w:rPr>
          <w:rFonts w:ascii="Consolas" w:cs="Consolas" w:eastAsia="Consolas" w:hAnsi="Consolas"/>
          <w:color w:val="1F2937"/>
          <w:sz w:val="15"/>
          <w:szCs w:val="15"/>
        </w:rPr>
        <w:t xml:space="preserve">      authenticationRef: { name: kafka-mtls }</w:t>
      </w:r>
    </w:p>
    <w:p>
      <w:pPr>
        <w:pStyle w:val="Heading1"/>
      </w:pPr>
      <w:r>
        <w:t xml:space="preserve">6. Kafka Elasticity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9"/>
        <w:gridCol w:w="7149"/>
      </w:tblGrid>
      <w:tr>
        <w:trPr>
          <w:cantSplit/>
          <w:tblHeader/>
        </w:trPr>
        <w:tc>
          <w:tcPr>
            <w:tcW w:type="dxa" w:w="248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Mechanism</w:t>
            </w:r>
          </w:p>
        </w:tc>
        <w:tc>
          <w:tcPr>
            <w:tcW w:type="dxa" w:w="714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Specification</w:t>
            </w:r>
          </w:p>
        </w:tc>
      </w:tr>
      <w:tr>
        <w:trPr>
          <w:cantSplit/>
          <w:tblHeader w:val="false"/>
        </w:trPr>
        <w:tc>
          <w:tcPr>
            <w:tcW w:type="dxa" w:w="248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Partitioning</w:t>
            </w:r>
          </w:p>
        </w:tc>
        <w:tc>
          <w:tcPr>
            <w:tcW w:type="dxa" w:w="714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Topics created at 2× required partitions (e.g. </w:t>
            </w:r>
            <w:r>
              <w:rPr>
                <w:rFonts w:ascii="Consolas" w:cs="Consolas" w:eastAsia="Consolas" w:hAnsi="Consolas"/>
                <w:color w:val="9B2C2C"/>
                <w:sz w:val="18"/>
                <w:szCs w:val="18"/>
              </w:rPr>
              <w:t xml:space="preserve">norm.events</w:t>
            </w:r>
            <w:r>
              <w:rPr>
                <w:sz w:val="18"/>
                <w:szCs w:val="18"/>
              </w:rPr>
              <w:t xml:space="preserve"> 192 for 96 needed); partition count ≥ max consumer parallelism</w:t>
            </w:r>
          </w:p>
        </w:tc>
      </w:tr>
      <w:tr>
        <w:trPr>
          <w:cantSplit/>
          <w:tblHeader w:val="false"/>
        </w:trPr>
        <w:tc>
          <w:tcPr>
            <w:tcW w:type="dxa" w:w="248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Broker addition</w:t>
            </w:r>
          </w:p>
        </w:tc>
        <w:tc>
          <w:tcPr>
            <w:tcW w:type="dxa" w:w="714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Strimzi scale-up; Cruise Control </w:t>
            </w:r>
            <w:r>
              <w:rPr>
                <w:rFonts w:ascii="Consolas" w:cs="Consolas" w:eastAsia="Consolas" w:hAnsi="Consolas"/>
                <w:color w:val="9B2C2C"/>
                <w:sz w:val="18"/>
                <w:szCs w:val="18"/>
              </w:rPr>
              <w:t xml:space="preserve">add_broker</w:t>
            </w:r>
            <w:r>
              <w:rPr>
                <w:sz w:val="18"/>
                <w:szCs w:val="18"/>
              </w:rPr>
              <w:t xml:space="preserve"> rebalance with replication throttle 100 MB/s</w:t>
            </w:r>
          </w:p>
        </w:tc>
      </w:tr>
      <w:tr>
        <w:trPr>
          <w:cantSplit/>
          <w:tblHeader w:val="false"/>
        </w:trPr>
        <w:tc>
          <w:tcPr>
            <w:tcW w:type="dxa" w:w="248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Continuous balancing</w:t>
            </w:r>
          </w:p>
        </w:tc>
        <w:tc>
          <w:tcPr>
            <w:tcW w:type="dxa" w:w="714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Cruise Control goals: RackAware, ReplicaCapacity, DiskCapacity, NetworkIn/OutCapacity, CpuCapacity, LeaderReplicaDistribution; self-healing on broker failure enabled</w:t>
            </w:r>
          </w:p>
        </w:tc>
      </w:tr>
      <w:tr>
        <w:trPr>
          <w:cantSplit/>
          <w:tblHeader w:val="false"/>
        </w:trPr>
        <w:tc>
          <w:tcPr>
            <w:tcW w:type="dxa" w:w="248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Tiered storage</w:t>
            </w:r>
          </w:p>
        </w:tc>
        <w:tc>
          <w:tcPr>
            <w:tcW w:type="dxa" w:w="714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Segments older than 12 h offloaded; local disk utilisation kept &lt; 70%</w:t>
            </w:r>
          </w:p>
        </w:tc>
      </w:tr>
      <w:tr>
        <w:trPr>
          <w:cantSplit/>
          <w:tblHeader w:val="false"/>
        </w:trPr>
        <w:tc>
          <w:tcPr>
            <w:tcW w:type="dxa" w:w="248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Quotas</w:t>
            </w:r>
          </w:p>
        </w:tc>
        <w:tc>
          <w:tcPr>
            <w:tcW w:type="dxa" w:w="714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Producer byte-rate quotas per gateway principal to protect cluster from runaway sources</w:t>
            </w:r>
          </w:p>
        </w:tc>
      </w:tr>
    </w:tbl>
    <w:p>
      <w:pPr>
        <w:spacing w:after="80"/>
      </w:pPr>
    </w:p>
    <w:p>
      <w:pPr>
        <w:pStyle w:val="Heading1"/>
      </w:pPr>
      <w:r>
        <w:t xml:space="preserve">7. Flink Scaling</w:t>
      </w:r>
    </w:p>
    <w:p>
      <w:pPr>
        <w:pStyle w:val="ListParagraph"/>
        <w:numPr>
          <w:ilvl w:val="0"/>
          <w:numId w:val="2"/>
        </w:numPr>
        <w:spacing w:after="40"/>
      </w:pPr>
      <w:r>
        <w:t xml:space="preserve">Reactive mode: job parallelism = available slots; rescale triggers restart from latest checkpoint (≤ 60 s state at baseline; unaligned checkpoints under backpressure).</w:t>
      </w:r>
    </w:p>
    <w:p>
      <w:pPr>
        <w:pStyle w:val="ListParagraph"/>
        <w:numPr>
          <w:ilvl w:val="0"/>
          <w:numId w:val="2"/>
        </w:numPr>
        <w:spacing w:after="40"/>
      </w:pPr>
      <w:r>
        <w:t xml:space="preserve">Max parallelism (key groups) set to 4,096 at job creation — immutable — to permit scaling to 32 TMs × 2 slots with even distribution.</w:t>
      </w:r>
    </w:p>
    <w:p>
      <w:pPr>
        <w:pStyle w:val="ListParagraph"/>
        <w:numPr>
          <w:ilvl w:val="0"/>
          <w:numId w:val="2"/>
        </w:numPr>
        <w:spacing w:after="40"/>
      </w:pPr>
      <w:r>
        <w:t xml:space="preserve">RocksDB state on local SSD; incremental checkpoints to object storage.</w:t>
      </w:r>
    </w:p>
    <w:p>
      <w:pPr>
        <w:pStyle w:val="Heading1"/>
      </w:pPr>
      <w:r>
        <w:t xml:space="preserve">8. Redis Feature Store Scaling</w:t>
      </w:r>
    </w:p>
    <w:p>
      <w:pPr>
        <w:pBdr>
          <w:top w:val="single" w:color="F3F4F6" w:sz="2" w:space="2"/>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controller loop (every 1 min):</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if any primary memory &gt; 75% or ops/s &gt; 200k for 5 min:</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if primaries &lt; 18: add 1 primary + 1 replica (different AZs)</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migrate slots from hottest primaries (by memory) using CLUSTER SETSLOT / MIGRATE, 500 keys/batch, throttled</w:t>
      </w:r>
    </w:p>
    <w:p>
      <w:pPr>
        <w:pBdr>
          <w:left w:val="single" w:color="2E75B6" w:sz="12" w:space="6"/>
        </w:pBdr>
        <w:shd w:fill="F3F4F6" w:color="auto" w:val="clear"/>
        <w:spacing w:after="0" w:before="0" w:line="240"/>
        <w:ind w:left="120"/>
      </w:pPr>
      <w:r>
        <w:rPr>
          <w:rFonts w:ascii="Consolas" w:cs="Consolas" w:eastAsia="Consolas" w:hAnsi="Consolas"/>
          <w:color w:val="1F2937"/>
          <w:sz w:val="15"/>
          <w:szCs w:val="15"/>
        </w:rPr>
        <w:t xml:space="preserve">            readiness of Feature Service unaffected (clients follow MOVED/ASK redirects)</w:t>
      </w:r>
    </w:p>
    <w:p>
      <w:pPr>
        <w:pBdr>
          <w:left w:val="single" w:color="2E75B6" w:sz="12" w:space="6"/>
        </w:pBdr>
        <w:shd w:fill="F3F4F6" w:color="auto" w:val="clear"/>
        <w:spacing w:after="160" w:before="0" w:line="240"/>
        <w:ind w:left="120"/>
      </w:pPr>
      <w:r>
        <w:rPr>
          <w:rFonts w:ascii="Consolas" w:cs="Consolas" w:eastAsia="Consolas" w:hAnsi="Consolas"/>
          <w:color w:val="1F2937"/>
          <w:sz w:val="15"/>
          <w:szCs w:val="15"/>
        </w:rPr>
        <w:t xml:space="preserve">        else: alert capacity ceiling (P2 platform)</w:t>
      </w:r>
    </w:p>
    <w:p>
      <w:pPr>
        <w:spacing w:after="120"/>
      </w:pPr>
      <w:r>
        <w:t xml:space="preserve">Scale-in is a manual, approved change (reverse migration) to avoid repeated slot churn.</w:t>
      </w:r>
    </w:p>
    <w:p>
      <w:pPr>
        <w:pStyle w:val="Heading1"/>
      </w:pPr>
      <w:r>
        <w:t xml:space="preserve">9. Inference Scaling</w:t>
      </w:r>
    </w:p>
    <w:p>
      <w:pPr>
        <w:pStyle w:val="ListParagraph"/>
        <w:numPr>
          <w:ilvl w:val="0"/>
          <w:numId w:val="2"/>
        </w:numPr>
        <w:spacing w:after="40"/>
      </w:pPr>
      <w:r>
        <w:t xml:space="preserve">Stateless; any request served by any replica; no session affinity.</w:t>
      </w:r>
    </w:p>
    <w:p>
      <w:pPr>
        <w:pStyle w:val="ListParagraph"/>
        <w:numPr>
          <w:ilvl w:val="0"/>
          <w:numId w:val="2"/>
        </w:numPr>
        <w:spacing w:after="40"/>
      </w:pPr>
      <w:r>
        <w:t xml:space="preserve">All five models evaluated concurrently per micro-batch → latency ≈ slowest model (~50 ms) not the sum.</w:t>
      </w:r>
    </w:p>
    <w:p>
      <w:pPr>
        <w:pStyle w:val="ListParagraph"/>
        <w:numPr>
          <w:ilvl w:val="0"/>
          <w:numId w:val="2"/>
        </w:numPr>
        <w:spacing w:after="40"/>
      </w:pPr>
      <w:r>
        <w:t xml:space="preserve">GPU node pool optional: when queue depth &gt; 500 persists 10 min at max CPU replicas, a GPU-backed replica set (2–4) is enabled if the pool exists.</w:t>
      </w:r>
    </w:p>
    <w:p>
      <w:pPr>
        <w:pStyle w:val="Heading1"/>
      </w:pPr>
      <w:r>
        <w:t xml:space="preserve">10. Predictive Pre-Scaling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6"/>
        <w:gridCol w:w="7222"/>
      </w:tblGrid>
      <w:tr>
        <w:trPr>
          <w:cantSplit/>
          <w:tblHeader/>
        </w:trPr>
        <w:tc>
          <w:tcPr>
            <w:tcW w:type="dxa" w:w="241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Item</w:t>
            </w:r>
          </w:p>
        </w:tc>
        <w:tc>
          <w:tcPr>
            <w:tcW w:type="dxa" w:w="7222"/>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Specification</w:t>
            </w:r>
          </w:p>
        </w:tc>
      </w:tr>
      <w:tr>
        <w:trPr>
          <w:cantSplit/>
          <w:tblHeader w:val="false"/>
        </w:trPr>
        <w:tc>
          <w:tcPr>
            <w:tcW w:type="dxa" w:w="241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Forecast target</w:t>
            </w:r>
          </w:p>
        </w:tc>
        <w:tc>
          <w:tcPr>
            <w:tcW w:type="dxa" w:w="72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Raw eps per domain and inference queue arrival rate</w:t>
            </w:r>
          </w:p>
        </w:tc>
      </w:tr>
      <w:tr>
        <w:trPr>
          <w:cantSplit/>
          <w:tblHeader w:val="false"/>
        </w:trPr>
        <w:tc>
          <w:tcPr>
            <w:tcW w:type="dxa" w:w="241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Model</w:t>
            </w:r>
          </w:p>
        </w:tc>
        <w:tc>
          <w:tcPr>
            <w:tcW w:type="dxa" w:w="722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Prophet or seasonal-naive + gradient boosting residual, hourly retrain on 28 days of 1-min data; holiday/business calendar regressors</w:t>
            </w:r>
          </w:p>
        </w:tc>
      </w:tr>
      <w:tr>
        <w:trPr>
          <w:cantSplit/>
          <w:tblHeader w:val="false"/>
        </w:trPr>
        <w:tc>
          <w:tcPr>
            <w:tcW w:type="dxa" w:w="241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Horizon / lead</w:t>
            </w:r>
          </w:p>
        </w:tc>
        <w:tc>
          <w:tcPr>
            <w:tcW w:type="dxa" w:w="72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30-min forecast; act 10 min before predicted peak</w:t>
            </w:r>
          </w:p>
        </w:tc>
      </w:tr>
      <w:tr>
        <w:trPr>
          <w:cantSplit/>
          <w:tblHeader w:val="false"/>
        </w:trPr>
        <w:tc>
          <w:tcPr>
            <w:tcW w:type="dxa" w:w="241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Action</w:t>
            </w:r>
          </w:p>
        </w:tc>
        <w:tc>
          <w:tcPr>
            <w:tcW w:type="dxa" w:w="722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Raise </w:t>
            </w:r>
            <w:r>
              <w:rPr>
                <w:rFonts w:ascii="Consolas" w:cs="Consolas" w:eastAsia="Consolas" w:hAnsi="Consolas"/>
                <w:color w:val="9B2C2C"/>
                <w:sz w:val="18"/>
                <w:szCs w:val="18"/>
              </w:rPr>
              <w:t xml:space="preserve">minReplicaCount</w:t>
            </w:r>
            <w:r>
              <w:rPr>
                <w:sz w:val="18"/>
                <w:szCs w:val="18"/>
              </w:rPr>
              <w:t xml:space="preserve"> of KEDA objects to </w:t>
            </w:r>
            <w:r>
              <w:rPr>
                <w:rFonts w:ascii="Consolas" w:cs="Consolas" w:eastAsia="Consolas" w:hAnsi="Consolas"/>
                <w:color w:val="9B2C2C"/>
                <w:sz w:val="18"/>
                <w:szCs w:val="18"/>
              </w:rPr>
              <w:t xml:space="preserve">ceil(forecast_p90 / per_replica_capacity × 1.2)</w:t>
            </w:r>
            <w:r>
              <w:rPr>
                <w:sz w:val="18"/>
                <w:szCs w:val="18"/>
              </w:rPr>
              <w:t xml:space="preserve">; reset after peak + 30 min</w:t>
            </w:r>
          </w:p>
        </w:tc>
      </w:tr>
      <w:tr>
        <w:trPr>
          <w:cantSplit/>
          <w:tblHeader w:val="false"/>
        </w:trPr>
        <w:tc>
          <w:tcPr>
            <w:tcW w:type="dxa" w:w="241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Safety</w:t>
            </w:r>
          </w:p>
        </w:tc>
        <w:tc>
          <w:tcPr>
            <w:tcW w:type="dxa" w:w="722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Pre-scaled minimum never exceeds max bounds; forecast error tracked (MAPE target &lt; 15%); disabled automatically if MAPE &gt; 30% for 24 h</w:t>
            </w:r>
          </w:p>
        </w:tc>
      </w:tr>
    </w:tbl>
    <w:p>
      <w:pPr>
        <w:spacing w:after="80"/>
      </w:pPr>
    </w:p>
    <w:p>
      <w:pPr>
        <w:pStyle w:val="Heading1"/>
      </w:pPr>
      <w:r>
        <w:t xml:space="preserve">11. Storage Tier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7"/>
        <w:gridCol w:w="3826"/>
        <w:gridCol w:w="4195"/>
      </w:tblGrid>
      <w:tr>
        <w:trPr>
          <w:cantSplit/>
          <w:tblHeader/>
        </w:trPr>
        <w:tc>
          <w:tcPr>
            <w:tcW w:type="dxa" w:w="1617"/>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Store</w:t>
            </w:r>
          </w:p>
        </w:tc>
        <w:tc>
          <w:tcPr>
            <w:tcW w:type="dxa" w:w="382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Mechanism</w:t>
            </w:r>
          </w:p>
        </w:tc>
        <w:tc>
          <w:tcPr>
            <w:tcW w:type="dxa" w:w="4195"/>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Lifecycle (default)</w:t>
            </w:r>
          </w:p>
        </w:tc>
      </w:tr>
      <w:tr>
        <w:trPr>
          <w:cantSplit/>
          <w:tblHeader w:val="false"/>
        </w:trPr>
        <w:tc>
          <w:tcPr>
            <w:tcW w:type="dxa" w:w="161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Redis</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TTLs per key type</w:t>
            </w:r>
          </w:p>
        </w:tc>
        <w:tc>
          <w:tcPr>
            <w:tcW w:type="dxa" w:w="419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1h-window features expire after 2 h; 1-day histories after 30 d</w:t>
            </w:r>
          </w:p>
        </w:tc>
      </w:tr>
      <w:tr>
        <w:trPr>
          <w:cantSplit/>
          <w:tblHeader w:val="false"/>
        </w:trPr>
        <w:tc>
          <w:tcPr>
            <w:tcW w:type="dxa" w:w="161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OpenSearch</w:t>
            </w:r>
          </w:p>
        </w:tc>
        <w:tc>
          <w:tcPr>
            <w:tcW w:type="dxa" w:w="382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ILM: rollover daily or 50 GiB/shard</w:t>
            </w:r>
          </w:p>
        </w:tc>
        <w:tc>
          <w:tcPr>
            <w:tcW w:type="dxa" w:w="419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Hot 7 d (SSD) → warm 30 d (HDD) → cold 90 d (object storage snapshots, searchable) → delete 12 months</w:t>
            </w:r>
          </w:p>
        </w:tc>
      </w:tr>
      <w:tr>
        <w:trPr>
          <w:cantSplit/>
          <w:tblHeader w:val="false"/>
        </w:trPr>
        <w:tc>
          <w:tcPr>
            <w:tcW w:type="dxa" w:w="161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VictoriaMetrics</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Independent scaling of vminsert/vmselect/vmstorage; add vmstorage without resharding</w:t>
            </w:r>
          </w:p>
        </w:tc>
        <w:tc>
          <w:tcPr>
            <w:tcW w:type="dxa" w:w="419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13 months infra; 6 months high-cardinality app metrics; downsampling 5m after 30 d, 1h after 90 d</w:t>
            </w:r>
          </w:p>
        </w:tc>
      </w:tr>
      <w:tr>
        <w:trPr>
          <w:cantSplit/>
          <w:tblHeader w:val="false"/>
        </w:trPr>
        <w:tc>
          <w:tcPr>
            <w:tcW w:type="dxa" w:w="161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Object storage</w:t>
            </w:r>
          </w:p>
        </w:tc>
        <w:tc>
          <w:tcPr>
            <w:tcW w:type="dxa" w:w="382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Lifecycle rules by prefix</w:t>
            </w:r>
          </w:p>
        </w:tc>
        <w:tc>
          <w:tcPr>
            <w:tcW w:type="dxa" w:w="419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Training data 24 months; model artefacts indefinite; audit 5 years (object lock)</w:t>
            </w:r>
          </w:p>
        </w:tc>
      </w:tr>
      <w:tr>
        <w:trPr>
          <w:cantSplit/>
          <w:tblHeader w:val="false"/>
        </w:trPr>
        <w:tc>
          <w:tcPr>
            <w:tcW w:type="dxa" w:w="161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Kafka</w:t>
            </w:r>
          </w:p>
        </w:tc>
        <w:tc>
          <w:tcPr>
            <w:tcW w:type="dxa" w:w="382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Tiered storage</w:t>
            </w:r>
          </w:p>
        </w:tc>
        <w:tc>
          <w:tcPr>
            <w:tcW w:type="dxa" w:w="419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12 h local, 72 h total for raw</w:t>
            </w:r>
          </w:p>
        </w:tc>
      </w:tr>
    </w:tbl>
    <w:p>
      <w:pPr>
        <w:spacing w:after="80"/>
      </w:pPr>
    </w:p>
    <w:p>
      <w:pPr>
        <w:pStyle w:val="Heading1"/>
      </w:pPr>
      <w:r>
        <w:t xml:space="preserve">12. Cluster Autoscaling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4"/>
        <w:gridCol w:w="2509"/>
        <w:gridCol w:w="2148"/>
        <w:gridCol w:w="3607"/>
      </w:tblGrid>
      <w:tr>
        <w:trPr>
          <w:cantSplit/>
          <w:tblHeader/>
        </w:trPr>
        <w:tc>
          <w:tcPr>
            <w:tcW w:type="dxa" w:w="137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Node pool</w:t>
            </w:r>
          </w:p>
        </w:tc>
        <w:tc>
          <w:tcPr>
            <w:tcW w:type="dxa" w:w="250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Autoscaler</w:t>
            </w:r>
          </w:p>
        </w:tc>
        <w:tc>
          <w:tcPr>
            <w:tcW w:type="dxa" w:w="214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Min / Max nodes per AZ</w:t>
            </w:r>
          </w:p>
        </w:tc>
        <w:tc>
          <w:tcPr>
            <w:tcW w:type="dxa" w:w="3607"/>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Notes</w:t>
            </w:r>
          </w:p>
        </w:tc>
      </w:tr>
      <w:tr>
        <w:trPr>
          <w:cantSplit/>
          <w:tblHeader w:val="false"/>
        </w:trPr>
        <w:tc>
          <w:tcPr>
            <w:tcW w:type="dxa" w:w="137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rFonts w:ascii="Consolas" w:cs="Consolas" w:eastAsia="Consolas" w:hAnsi="Consolas"/>
                <w:color w:val="9B2C2C"/>
                <w:sz w:val="18"/>
                <w:szCs w:val="18"/>
              </w:rPr>
              <w:t xml:space="preserve">stream</w:t>
            </w:r>
          </w:p>
        </w:tc>
        <w:tc>
          <w:tcPr>
            <w:tcW w:type="dxa" w:w="25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Cluster Autoscaler / Karpenter</w:t>
            </w:r>
          </w:p>
        </w:tc>
        <w:tc>
          <w:tcPr>
            <w:tcW w:type="dxa" w:w="214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2 / 12</w:t>
            </w:r>
          </w:p>
        </w:tc>
        <w:tc>
          <w:tcPr>
            <w:tcW w:type="dxa" w:w="360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On-demand only</w:t>
            </w:r>
          </w:p>
        </w:tc>
      </w:tr>
      <w:tr>
        <w:trPr>
          <w:cantSplit/>
          <w:tblHeader w:val="false"/>
        </w:trPr>
        <w:tc>
          <w:tcPr>
            <w:tcW w:type="dxa" w:w="137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rFonts w:ascii="Consolas" w:cs="Consolas" w:eastAsia="Consolas" w:hAnsi="Consolas"/>
                <w:color w:val="9B2C2C"/>
                <w:sz w:val="18"/>
                <w:szCs w:val="18"/>
              </w:rPr>
              <w:t xml:space="preserve">data</w:t>
            </w:r>
          </w:p>
        </w:tc>
        <w:tc>
          <w:tcPr>
            <w:tcW w:type="dxa" w:w="250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Manual (stateful)</w:t>
            </w:r>
          </w:p>
        </w:tc>
        <w:tc>
          <w:tcPr>
            <w:tcW w:type="dxa" w:w="214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Fixed per sizing</w:t>
            </w:r>
          </w:p>
        </w:tc>
        <w:tc>
          <w:tcPr>
            <w:tcW w:type="dxa" w:w="360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Changes via change request</w:t>
            </w:r>
          </w:p>
        </w:tc>
      </w:tr>
      <w:tr>
        <w:trPr>
          <w:cantSplit/>
          <w:tblHeader w:val="false"/>
        </w:trPr>
        <w:tc>
          <w:tcPr>
            <w:tcW w:type="dxa" w:w="137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rFonts w:ascii="Consolas" w:cs="Consolas" w:eastAsia="Consolas" w:hAnsi="Consolas"/>
                <w:color w:val="9B2C2C"/>
                <w:sz w:val="18"/>
                <w:szCs w:val="18"/>
              </w:rPr>
              <w:t xml:space="preserve">ml</w:t>
            </w:r>
          </w:p>
        </w:tc>
        <w:tc>
          <w:tcPr>
            <w:tcW w:type="dxa" w:w="25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Autoscaler</w:t>
            </w:r>
          </w:p>
        </w:tc>
        <w:tc>
          <w:tcPr>
            <w:tcW w:type="dxa" w:w="214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 / 8</w:t>
            </w:r>
          </w:p>
        </w:tc>
        <w:tc>
          <w:tcPr>
            <w:tcW w:type="dxa" w:w="360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GPU sub-pool 0 / 2</w:t>
            </w:r>
          </w:p>
        </w:tc>
      </w:tr>
      <w:tr>
        <w:trPr>
          <w:cantSplit/>
          <w:tblHeader w:val="false"/>
        </w:trPr>
        <w:tc>
          <w:tcPr>
            <w:tcW w:type="dxa" w:w="137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rFonts w:ascii="Consolas" w:cs="Consolas" w:eastAsia="Consolas" w:hAnsi="Consolas"/>
                <w:color w:val="9B2C2C"/>
                <w:sz w:val="18"/>
                <w:szCs w:val="18"/>
              </w:rPr>
              <w:t xml:space="preserve">batch</w:t>
            </w:r>
          </w:p>
        </w:tc>
        <w:tc>
          <w:tcPr>
            <w:tcW w:type="dxa" w:w="250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Autoscaler, spot allowed</w:t>
            </w:r>
          </w:p>
        </w:tc>
        <w:tc>
          <w:tcPr>
            <w:tcW w:type="dxa" w:w="214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0 / 10</w:t>
            </w:r>
          </w:p>
        </w:tc>
        <w:tc>
          <w:tcPr>
            <w:tcW w:type="dxa" w:w="360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Training jobs tolerate pre-emption (checkpointing every epoch)</w:t>
            </w:r>
          </w:p>
        </w:tc>
      </w:tr>
      <w:tr>
        <w:trPr>
          <w:cantSplit/>
          <w:tblHeader w:val="false"/>
        </w:trPr>
        <w:tc>
          <w:tcPr>
            <w:tcW w:type="dxa" w:w="137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rFonts w:ascii="Consolas" w:cs="Consolas" w:eastAsia="Consolas" w:hAnsi="Consolas"/>
                <w:color w:val="9B2C2C"/>
                <w:sz w:val="18"/>
                <w:szCs w:val="18"/>
              </w:rPr>
              <w:t xml:space="preserve">apps</w:t>
            </w:r>
          </w:p>
        </w:tc>
        <w:tc>
          <w:tcPr>
            <w:tcW w:type="dxa" w:w="250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Autoscaler</w:t>
            </w:r>
          </w:p>
        </w:tc>
        <w:tc>
          <w:tcPr>
            <w:tcW w:type="dxa" w:w="214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2 / 10</w:t>
            </w:r>
          </w:p>
        </w:tc>
        <w:tc>
          <w:tcPr>
            <w:tcW w:type="dxa" w:w="360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p>
        </w:tc>
      </w:tr>
    </w:tbl>
    <w:p>
      <w:pPr>
        <w:spacing w:after="80"/>
      </w:pPr>
    </w:p>
    <w:p>
      <w:pPr>
        <w:spacing w:after="120"/>
      </w:pPr>
      <w:r>
        <w:t xml:space="preserve">Overprovisioning: a low-priority "balloon" deployment reserves ≈ 10% headroom in </w:t>
      </w:r>
      <w:r>
        <w:rPr>
          <w:rFonts w:ascii="Consolas" w:cs="Consolas" w:eastAsia="Consolas" w:hAnsi="Consolas"/>
          <w:color w:val="9B2C2C"/>
          <w:sz w:val="18"/>
          <w:szCs w:val="18"/>
        </w:rPr>
        <w:t xml:space="preserve">stream</w:t>
      </w:r>
      <w:r>
        <w:t xml:space="preserve"> and </w:t>
      </w:r>
      <w:r>
        <w:rPr>
          <w:rFonts w:ascii="Consolas" w:cs="Consolas" w:eastAsia="Consolas" w:hAnsi="Consolas"/>
          <w:color w:val="9B2C2C"/>
          <w:sz w:val="18"/>
          <w:szCs w:val="18"/>
        </w:rPr>
        <w:t xml:space="preserve">ml</w:t>
      </w:r>
      <w:r>
        <w:t xml:space="preserve"> pools so that scale-outs do not wait for node provisioning.</w:t>
      </w:r>
    </w:p>
    <w:p>
      <w:pPr>
        <w:pStyle w:val="Heading1"/>
      </w:pPr>
      <w:r>
        <w:t xml:space="preserve">13. Failure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6"/>
        <w:gridCol w:w="5932"/>
      </w:tblGrid>
      <w:tr>
        <w:trPr>
          <w:cantSplit/>
          <w:tblHeader/>
        </w:trPr>
        <w:tc>
          <w:tcPr>
            <w:tcW w:type="dxa" w:w="370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Failure</w:t>
            </w:r>
          </w:p>
        </w:tc>
        <w:tc>
          <w:tcPr>
            <w:tcW w:type="dxa" w:w="5932"/>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Handling</w:t>
            </w:r>
          </w:p>
        </w:tc>
      </w:tr>
      <w:tr>
        <w:trPr>
          <w:cantSplit/>
          <w:tblHeader w:val="false"/>
        </w:trPr>
        <w:tc>
          <w:tcPr>
            <w:tcW w:type="dxa" w:w="370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Max replicas reached and lag still rising</w:t>
            </w:r>
          </w:p>
        </w:tc>
        <w:tc>
          <w:tcPr>
            <w:tcW w:type="dxa" w:w="59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Per-source rate limits engage; lowest-priority sources (P4 domains) throttled first; P2 platform incident</w:t>
            </w:r>
          </w:p>
        </w:tc>
      </w:tr>
      <w:tr>
        <w:trPr>
          <w:cantSplit/>
          <w:tblHeader w:val="false"/>
        </w:trPr>
        <w:tc>
          <w:tcPr>
            <w:tcW w:type="dxa" w:w="370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Scale flapping</w:t>
            </w:r>
          </w:p>
        </w:tc>
        <w:tc>
          <w:tcPr>
            <w:tcW w:type="dxa" w:w="593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Stabilisation windows; flap detector (&gt; 4 direction changes/h) doubles cooldown and alerts</w:t>
            </w:r>
          </w:p>
        </w:tc>
      </w:tr>
      <w:tr>
        <w:trPr>
          <w:cantSplit/>
          <w:tblHeader w:val="false"/>
        </w:trPr>
        <w:tc>
          <w:tcPr>
            <w:tcW w:type="dxa" w:w="370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Node provisioning delay</w:t>
            </w:r>
          </w:p>
        </w:tc>
        <w:tc>
          <w:tcPr>
            <w:tcW w:type="dxa" w:w="593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Balloon headroom; pre-emption of </w:t>
            </w:r>
            <w:r>
              <w:rPr>
                <w:rFonts w:ascii="Consolas" w:cs="Consolas" w:eastAsia="Consolas" w:hAnsi="Consolas"/>
                <w:color w:val="9B2C2C"/>
                <w:sz w:val="18"/>
                <w:szCs w:val="18"/>
              </w:rPr>
              <w:t xml:space="preserve">pdd-batch</w:t>
            </w:r>
            <w:r>
              <w:rPr>
                <w:sz w:val="18"/>
                <w:szCs w:val="18"/>
              </w:rPr>
              <w:t xml:space="preserve"> workloads</w:t>
            </w:r>
          </w:p>
        </w:tc>
      </w:tr>
      <w:tr>
        <w:trPr>
          <w:cantSplit/>
          <w:tblHeader w:val="false"/>
        </w:trPr>
        <w:tc>
          <w:tcPr>
            <w:tcW w:type="dxa" w:w="370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Rebalance overload</w:t>
            </w:r>
          </w:p>
        </w:tc>
        <w:tc>
          <w:tcPr>
            <w:tcW w:type="dxa" w:w="593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Cruise Control throttle; rebalance paused if produce latency P99 &gt; 200 ms</w:t>
            </w:r>
          </w:p>
        </w:tc>
      </w:tr>
    </w:tbl>
    <w:p>
      <w:pPr>
        <w:spacing w:after="80"/>
      </w:pPr>
    </w:p>
    <w:p>
      <w:pPr>
        <w:pStyle w:val="Heading1"/>
      </w:pPr>
      <w:r>
        <w:t xml:space="preserve">14.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9"/>
        <w:gridCol w:w="7369"/>
      </w:tblGrid>
      <w:tr>
        <w:trPr>
          <w:cantSplit/>
          <w:tblHeader/>
        </w:trPr>
        <w:tc>
          <w:tcPr>
            <w:tcW w:type="dxa" w:w="226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ID</w:t>
            </w:r>
          </w:p>
        </w:tc>
        <w:tc>
          <w:tcPr>
            <w:tcW w:type="dxa" w:w="736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Criterion</w:t>
            </w:r>
          </w:p>
        </w:tc>
      </w:tr>
      <w:tr>
        <w:trPr>
          <w:cantSplit/>
          <w:tblHeader w:val="false"/>
        </w:trPr>
        <w:tc>
          <w:tcPr>
            <w:tcW w:type="dxa" w:w="226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TS12-AC-001</w:t>
            </w:r>
          </w:p>
        </w:tc>
        <w:tc>
          <w:tcPr>
            <w:tcW w:type="dxa" w:w="736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Ramp 500k → 2M eps in 2 min: lag peaks then returns &lt; 50k/partition within 10 min; P99 score latency recovers ≤ 30 s</w:t>
            </w:r>
          </w:p>
        </w:tc>
      </w:tr>
      <w:tr>
        <w:trPr>
          <w:cantSplit/>
          <w:tblHeader w:val="false"/>
        </w:trPr>
        <w:tc>
          <w:tcPr>
            <w:tcW w:type="dxa" w:w="226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TS12-AC-002</w:t>
            </w:r>
          </w:p>
        </w:tc>
        <w:tc>
          <w:tcPr>
            <w:tcW w:type="dxa" w:w="736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Scale events during load test produce zero duplicates (exactly-once audit reconciliation)</w:t>
            </w:r>
          </w:p>
        </w:tc>
      </w:tr>
      <w:tr>
        <w:trPr>
          <w:cantSplit/>
          <w:tblHeader w:val="false"/>
        </w:trPr>
        <w:tc>
          <w:tcPr>
            <w:tcW w:type="dxa" w:w="226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TS12-AC-003</w:t>
            </w:r>
          </w:p>
        </w:tc>
        <w:tc>
          <w:tcPr>
            <w:tcW w:type="dxa" w:w="736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Redis scale-out from 6 to 9 primaries under load: read P99 stays ≤ 10 ms</w:t>
            </w:r>
          </w:p>
        </w:tc>
      </w:tr>
      <w:tr>
        <w:trPr>
          <w:cantSplit/>
          <w:tblHeader w:val="false"/>
        </w:trPr>
        <w:tc>
          <w:tcPr>
            <w:tcW w:type="dxa" w:w="226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TS12-AC-004</w:t>
            </w:r>
          </w:p>
        </w:tc>
        <w:tc>
          <w:tcPr>
            <w:tcW w:type="dxa" w:w="736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Predictive scaler pre-scales before a replayed business-hour peak (capacity in place ≥ 5 min before peak)</w:t>
            </w:r>
          </w:p>
        </w:tc>
      </w:tr>
      <w:tr>
        <w:trPr>
          <w:cantSplit/>
          <w:tblHeader w:val="false"/>
        </w:trPr>
        <w:tc>
          <w:tcPr>
            <w:tcW w:type="dxa" w:w="226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TS12-AC-005</w:t>
            </w:r>
          </w:p>
        </w:tc>
        <w:tc>
          <w:tcPr>
            <w:tcW w:type="dxa" w:w="736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24-h soak at 750k eps without manual intervention</w:t>
            </w:r>
          </w:p>
        </w:tc>
      </w:tr>
    </w:tbl>
    <w:p>
      <w:pPr>
        <w:spacing w:after="80"/>
      </w:pPr>
    </w:p>
    <w:p>
      <w:pPr>
        <w:pStyle w:val="Heading1"/>
      </w:pPr>
      <w:r>
        <w:t xml:space="preserve">15. Assumptions and Open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7"/>
        <w:gridCol w:w="7891"/>
      </w:tblGrid>
      <w:tr>
        <w:trPr>
          <w:cantSplit/>
          <w:tblHeader/>
        </w:trPr>
        <w:tc>
          <w:tcPr>
            <w:tcW w:type="dxa" w:w="1747"/>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ID</w:t>
            </w:r>
          </w:p>
        </w:tc>
        <w:tc>
          <w:tcPr>
            <w:tcW w:type="dxa" w:w="7891"/>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Item</w:t>
            </w:r>
          </w:p>
        </w:tc>
      </w:tr>
      <w:tr>
        <w:trPr>
          <w:cantSplit/>
          <w:tblHeader w:val="false"/>
        </w:trPr>
        <w:tc>
          <w:tcPr>
            <w:tcW w:type="dxa" w:w="174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A-01</w:t>
            </w:r>
          </w:p>
        </w:tc>
        <w:tc>
          <w:tcPr>
            <w:tcW w:type="dxa" w:w="789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Average event size 350 B compressed — validate in Phase 1; partition and storage sizing scale linearly</w:t>
            </w:r>
          </w:p>
        </w:tc>
      </w:tr>
      <w:tr>
        <w:trPr>
          <w:cantSplit/>
          <w:tblHeader w:val="false"/>
        </w:trPr>
        <w:tc>
          <w:tcPr>
            <w:tcW w:type="dxa" w:w="174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OI-01</w:t>
            </w:r>
          </w:p>
        </w:tc>
        <w:tc>
          <w:tcPr>
            <w:tcW w:type="dxa" w:w="789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Spot/pre-emptible use for training subject to cloud policy</w:t>
            </w: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6"/>
        <w:szCs w:val="16"/>
      </w:rPr>
      <w:t xml:space="preserve">Sakul Gupta · Confidential</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tabs>
        <w:tab w:val="right" w:pos="9638"/>
      </w:tabs>
    </w:pPr>
    <w:r>
      <w:rPr>
        <w:color w:val="595959"/>
        <w:sz w:val="16"/>
        <w:szCs w:val="16"/>
      </w:rPr>
      <w:t xml:space="preserve">TS-12 · Scalability and Elastic Capacity Management</w:t>
    </w:r>
    <w:r>
      <w:rPr>
        <w:color w:val="595959"/>
        <w:sz w:val="16"/>
        <w:szCs w:val="16"/>
      </w:rPr>
      <w:t xml:space="preserve">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333F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TS-12 Scalability and Elastic Capacity Management</dc:title>
  <dc:creator>Sakul Gupta</dc:creator>
  <cp:lastModifiedBy>Un-named</cp:lastModifiedBy>
  <cp:revision>1</cp:revision>
  <dcterms:created xsi:type="dcterms:W3CDTF">2026-10-14T09:35:31.122Z</dcterms:created>
  <dcterms:modified xsi:type="dcterms:W3CDTF">2026-10-14T09:35:31.122Z</dcterms:modified>
</cp:coreProperties>
</file>

<file path=docProps/custom.xml><?xml version="1.0" encoding="utf-8"?>
<Properties xmlns="http://schemas.openxmlformats.org/officeDocument/2006/custom-properties" xmlns:vt="http://schemas.openxmlformats.org/officeDocument/2006/docPropsVTypes"/>
</file>