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E75B6"/>
          <w:spacing w:val="40"/>
          <w:sz w:val="22"/>
          <w:szCs w:val="22"/>
        </w:rPr>
        <w:t xml:space="preserve">TECHNICAL SPECIFICATION</w:t>
      </w:r>
    </w:p>
    <w:p>
      <w:pPr>
        <w:spacing w:after="80"/>
      </w:pPr>
      <w:r>
        <w:rPr>
          <w:b/>
          <w:bCs/>
          <w:color w:val="595959"/>
          <w:sz w:val="32"/>
          <w:szCs w:val="32"/>
        </w:rPr>
        <w:t xml:space="preserve">TS-17</w:t>
      </w:r>
    </w:p>
    <w:p>
      <w:pPr>
        <w:spacing w:after="240"/>
      </w:pPr>
      <w:r>
        <w:rPr>
          <w:b/>
          <w:bCs/>
          <w:color w:val="1F3A5F"/>
          <w:sz w:val="48"/>
          <w:szCs w:val="48"/>
        </w:rPr>
        <w:t xml:space="preserve">Delivery Roadmap, KPIs, KRIs and Acceptance</w:t>
      </w:r>
    </w:p>
    <w:p>
      <w:pPr>
        <w:pBdr>
          <w:bottom w:val="single" w:color="2E75B6" w:sz="12" w:space="4"/>
        </w:pBdr>
        <w:spacing w:after="240"/>
      </w:pPr>
    </w:p>
    <w:p>
      <w:pPr>
        <w:spacing w:after="360"/>
      </w:pPr>
      <w:r>
        <w:rPr>
          <w:i/>
          <w:iCs/>
          <w:color w:val="595959"/>
          <w:sz w:val="22"/>
          <w:szCs w:val="22"/>
        </w:rPr>
        <w:t xml:space="preserve">The integrated 12-month delivery plan with phase entry and exit gates, workstreams and deliverables, precise KPI and KRI definitions with formulas and data sources, readiness prerequisites and the programme-level acceptance and go-live criteria.</w:t>
      </w:r>
    </w:p>
    <w:p>
      <w:pPr>
        <w:spacing w:after="120"/>
      </w:pPr>
      <w:r>
        <w:rPr>
          <w:b/>
          <w:bCs/>
          <w:color w:val="1F3A5F"/>
          <w:sz w:val="20"/>
          <w:szCs w:val="20"/>
        </w:rPr>
        <w:t xml:space="preserve">Proactive Infrastructure Disruption Detection &amp; Automated Incident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3"/>
        <w:gridCol w:w="6825"/>
      </w:tblGrid>
      <w:tr>
        <w:trPr>
          <w:cantSplit/>
          <w:tblHeader/>
        </w:trPr>
        <w:tc>
          <w:tcPr>
            <w:tcW w:type="dxa" w:w="281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Field</w:t>
            </w:r>
          </w:p>
        </w:tc>
        <w:tc>
          <w:tcPr>
            <w:tcW w:type="dxa" w:w="682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Value</w:t>
            </w:r>
          </w:p>
        </w:tc>
      </w:tr>
      <w:tr>
        <w:trPr>
          <w:cantSplit/>
          <w:tblHeader w:val="false"/>
        </w:trPr>
        <w:tc>
          <w:tcPr>
            <w:tcW w:type="dxa" w:w="28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Specification ID</w:t>
            </w:r>
          </w:p>
        </w:tc>
        <w:tc>
          <w:tcPr>
            <w:tcW w:type="dxa" w:w="68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TS-17</w:t>
            </w:r>
          </w:p>
        </w:tc>
      </w:tr>
      <w:tr>
        <w:trPr>
          <w:cantSplit/>
          <w:tblHeader w:val="false"/>
        </w:trPr>
        <w:tc>
          <w:tcPr>
            <w:tcW w:type="dxa" w:w="28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Version / Status</w:t>
            </w:r>
          </w:p>
        </w:tc>
        <w:tc>
          <w:tcPr>
            <w:tcW w:type="dxa" w:w="682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1.0 / Draft for architecture review</w:t>
            </w:r>
          </w:p>
        </w:tc>
      </w:tr>
      <w:tr>
        <w:trPr>
          <w:cantSplit/>
          <w:tblHeader w:val="false"/>
        </w:trPr>
        <w:tc>
          <w:tcPr>
            <w:tcW w:type="dxa" w:w="28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Date</w:t>
            </w:r>
          </w:p>
        </w:tc>
        <w:tc>
          <w:tcPr>
            <w:tcW w:type="dxa" w:w="68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14 October 2026</w:t>
            </w:r>
          </w:p>
        </w:tc>
      </w:tr>
      <w:tr>
        <w:trPr>
          <w:cantSplit/>
          <w:tblHeader w:val="false"/>
        </w:trPr>
        <w:tc>
          <w:tcPr>
            <w:tcW w:type="dxa" w:w="28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Author</w:t>
            </w:r>
          </w:p>
        </w:tc>
        <w:tc>
          <w:tcPr>
            <w:tcW w:type="dxa" w:w="682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Sakul Gupta</w:t>
            </w:r>
          </w:p>
        </w:tc>
      </w:tr>
      <w:tr>
        <w:trPr>
          <w:cantSplit/>
          <w:tblHeader w:val="false"/>
        </w:trPr>
        <w:tc>
          <w:tcPr>
            <w:tcW w:type="dxa" w:w="28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white paper sections</w:t>
            </w:r>
          </w:p>
        </w:tc>
        <w:tc>
          <w:tcPr>
            <w:tcW w:type="dxa" w:w="68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10 Implementation Roadmap · 11 Success Metrics &amp; KPIs (incl. KPI-to-component map and KRIs) · 12 Conclusion &amp; Next Steps · 14E Implementation Phasing &amp; Metrics</w:t>
            </w:r>
          </w:p>
        </w:tc>
      </w:tr>
      <w:tr>
        <w:trPr>
          <w:cantSplit/>
          <w:tblHeader w:val="false"/>
        </w:trPr>
        <w:tc>
          <w:tcPr>
            <w:tcW w:type="dxa" w:w="28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Depends on</w:t>
            </w:r>
          </w:p>
        </w:tc>
        <w:tc>
          <w:tcPr>
            <w:tcW w:type="dxa" w:w="682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TS-01 to TS-16</w:t>
            </w:r>
          </w:p>
        </w:tc>
      </w:tr>
      <w:tr>
        <w:trPr>
          <w:cantSplit/>
          <w:tblHeader w:val="false"/>
        </w:trPr>
        <w:tc>
          <w:tcPr>
            <w:tcW w:type="dxa" w:w="28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Deployment context</w:t>
            </w:r>
          </w:p>
        </w:tc>
        <w:tc>
          <w:tcPr>
            <w:tcW w:type="dxa" w:w="682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Industry-neutral; regulated-industry controls exposed as configuration</w:t>
            </w:r>
          </w:p>
        </w:tc>
      </w:tr>
      <w:tr>
        <w:trPr>
          <w:cantSplit/>
          <w:tblHeader w:val="false"/>
        </w:trPr>
        <w:tc>
          <w:tcPr>
            <w:tcW w:type="dxa" w:w="28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Document structure</w:t>
            </w:r>
          </w:p>
        </w:tc>
        <w:tc>
          <w:tcPr>
            <w:tcW w:type="dxa" w:w="682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Part A — Design-level specification · Part B — Low-level (build-ready) specification</w:t>
            </w:r>
          </w:p>
        </w:tc>
      </w:tr>
    </w:tbl>
    <w:p>
      <w:r>
        <w:br w:type="page"/>
      </w:r>
    </w:p>
    <w:p>
      <w:pPr>
        <w:pStyle w:val="Heading1"/>
      </w:pPr>
      <w:r>
        <w:t xml:space="preserve">Contents</w:t>
      </w:r>
    </w:p>
    <w:p>
      <w:pPr>
        <w:spacing w:after="20" w:before="200"/>
      </w:pPr>
      <w:r>
        <w:rPr>
          <w:b/>
          <w:bCs/>
          <w:color w:val="1F3A5F"/>
          <w:sz w:val="20"/>
          <w:szCs w:val="20"/>
        </w:rPr>
        <w:t xml:space="preserve">PART A — DESIGN-LEVEL SPECIFICATION</w:t>
      </w:r>
    </w:p>
    <w:p>
      <w:pPr>
        <w:spacing w:after="20" w:before="60"/>
      </w:pPr>
      <w:r>
        <w:rPr>
          <w:b w:val="false"/>
          <w:bCs w:val="false"/>
          <w:color w:val="1F2937"/>
          <w:sz w:val="19"/>
          <w:szCs w:val="19"/>
        </w:rPr>
        <w:t xml:space="preserve">1. Purpose and Scope</w:t>
      </w:r>
    </w:p>
    <w:p>
      <w:pPr>
        <w:spacing w:after="20" w:before="60"/>
      </w:pPr>
      <w:r>
        <w:rPr>
          <w:b w:val="false"/>
          <w:bCs w:val="false"/>
          <w:color w:val="1F2937"/>
          <w:sz w:val="19"/>
          <w:szCs w:val="19"/>
        </w:rPr>
        <w:t xml:space="preserve">2. Integrated Phase Plan</w:t>
      </w:r>
    </w:p>
    <w:p>
      <w:pPr>
        <w:spacing w:after="20" w:before="60"/>
      </w:pPr>
      <w:r>
        <w:rPr>
          <w:b w:val="false"/>
          <w:bCs w:val="false"/>
          <w:color w:val="1F2937"/>
          <w:sz w:val="19"/>
          <w:szCs w:val="19"/>
        </w:rPr>
        <w:t xml:space="preserve">3. Workstreams</w:t>
      </w:r>
    </w:p>
    <w:p>
      <w:pPr>
        <w:spacing w:after="20" w:before="200"/>
      </w:pPr>
      <w:r>
        <w:rPr>
          <w:b/>
          <w:bCs/>
          <w:color w:val="1F3A5F"/>
          <w:sz w:val="20"/>
          <w:szCs w:val="20"/>
        </w:rPr>
        <w:t xml:space="preserve">PART B — LOW-LEVEL SPECIFICATION</w:t>
      </w:r>
    </w:p>
    <w:p>
      <w:pPr>
        <w:spacing w:after="20" w:before="60"/>
      </w:pPr>
      <w:r>
        <w:rPr>
          <w:b w:val="false"/>
          <w:bCs w:val="false"/>
          <w:color w:val="1F2937"/>
          <w:sz w:val="19"/>
          <w:szCs w:val="19"/>
        </w:rPr>
        <w:t xml:space="preserve">4. Readiness Prerequisites (before Phase 1 start)</w:t>
      </w:r>
    </w:p>
    <w:p>
      <w:pPr>
        <w:spacing w:after="20" w:before="60"/>
      </w:pPr>
      <w:r>
        <w:rPr>
          <w:b w:val="false"/>
          <w:bCs w:val="false"/>
          <w:color w:val="1F2937"/>
          <w:sz w:val="19"/>
          <w:szCs w:val="19"/>
        </w:rPr>
        <w:t xml:space="preserve">5. Phase Deliverables and Gates</w:t>
      </w:r>
    </w:p>
    <w:p>
      <w:pPr>
        <w:spacing w:after="10"/>
        <w:ind w:left="360"/>
      </w:pPr>
      <w:r>
        <w:rPr>
          <w:color w:val="595959"/>
          <w:sz w:val="17"/>
          <w:szCs w:val="17"/>
        </w:rPr>
        <w:t xml:space="preserve">5.1 Phase 1 — Foundation (Months 1–3)</w:t>
      </w:r>
    </w:p>
    <w:p>
      <w:pPr>
        <w:spacing w:after="10"/>
        <w:ind w:left="360"/>
      </w:pPr>
      <w:r>
        <w:rPr>
          <w:color w:val="595959"/>
          <w:sz w:val="17"/>
          <w:szCs w:val="17"/>
        </w:rPr>
        <w:t xml:space="preserve">5.2 Phase 2 — Shadow (Months 4–6)</w:t>
      </w:r>
    </w:p>
    <w:p>
      <w:pPr>
        <w:spacing w:after="10"/>
        <w:ind w:left="360"/>
      </w:pPr>
      <w:r>
        <w:rPr>
          <w:color w:val="595959"/>
          <w:sz w:val="17"/>
          <w:szCs w:val="17"/>
        </w:rPr>
        <w:t xml:space="preserve">5.3 Phase 3 — Controlled automation (Months 7–9)</w:t>
      </w:r>
    </w:p>
    <w:p>
      <w:pPr>
        <w:spacing w:after="10"/>
        <w:ind w:left="360"/>
      </w:pPr>
      <w:r>
        <w:rPr>
          <w:color w:val="595959"/>
          <w:sz w:val="17"/>
          <w:szCs w:val="17"/>
        </w:rPr>
        <w:t xml:space="preserve">5.4 Phase 4 — Full automation (Months 10–12)</w:t>
      </w:r>
    </w:p>
    <w:p>
      <w:pPr>
        <w:spacing w:after="10"/>
        <w:ind w:left="360"/>
      </w:pPr>
      <w:r>
        <w:rPr>
          <w:color w:val="595959"/>
          <w:sz w:val="17"/>
          <w:szCs w:val="17"/>
        </w:rPr>
        <w:t xml:space="preserve">5.5 Gate governance</w:t>
      </w:r>
    </w:p>
    <w:p>
      <w:pPr>
        <w:spacing w:after="20" w:before="60"/>
      </w:pPr>
      <w:r>
        <w:rPr>
          <w:b w:val="false"/>
          <w:bCs w:val="false"/>
          <w:color w:val="1F2937"/>
          <w:sz w:val="19"/>
          <w:szCs w:val="19"/>
        </w:rPr>
        <w:t xml:space="preserve">6. KPI Definitions</w:t>
      </w:r>
    </w:p>
    <w:p>
      <w:pPr>
        <w:spacing w:after="10"/>
        <w:ind w:left="360"/>
      </w:pPr>
      <w:r>
        <w:rPr>
          <w:color w:val="595959"/>
          <w:sz w:val="17"/>
          <w:szCs w:val="17"/>
        </w:rPr>
        <w:t xml:space="preserve">6.1 Core detection KPIs</w:t>
      </w:r>
    </w:p>
    <w:p>
      <w:pPr>
        <w:spacing w:after="10"/>
        <w:ind w:left="360"/>
      </w:pPr>
      <w:r>
        <w:rPr>
          <w:color w:val="595959"/>
          <w:sz w:val="17"/>
          <w:szCs w:val="17"/>
        </w:rPr>
        <w:t xml:space="preserve">6.2 GenAI and agent KPIs</w:t>
      </w:r>
    </w:p>
    <w:p>
      <w:pPr>
        <w:spacing w:after="10"/>
        <w:ind w:left="360"/>
      </w:pPr>
      <w:r>
        <w:rPr>
          <w:color w:val="595959"/>
          <w:sz w:val="17"/>
          <w:szCs w:val="17"/>
        </w:rPr>
        <w:t xml:space="preserve">6.3 KPI-to-component traceability</w:t>
      </w:r>
    </w:p>
    <w:p>
      <w:pPr>
        <w:spacing w:after="20" w:before="60"/>
      </w:pPr>
      <w:r>
        <w:rPr>
          <w:b w:val="false"/>
          <w:bCs w:val="false"/>
          <w:color w:val="1F2937"/>
          <w:sz w:val="19"/>
          <w:szCs w:val="19"/>
        </w:rPr>
        <w:t xml:space="preserve">7. KRI Register</w:t>
      </w:r>
    </w:p>
    <w:p>
      <w:pPr>
        <w:spacing w:after="20" w:before="60"/>
      </w:pPr>
      <w:r>
        <w:rPr>
          <w:b w:val="false"/>
          <w:bCs w:val="false"/>
          <w:color w:val="1F2937"/>
          <w:sz w:val="19"/>
          <w:szCs w:val="19"/>
        </w:rPr>
        <w:t xml:space="preserve">8. Measurement Rules</w:t>
      </w:r>
    </w:p>
    <w:p>
      <w:pPr>
        <w:spacing w:after="20" w:before="60"/>
      </w:pPr>
      <w:r>
        <w:rPr>
          <w:b w:val="false"/>
          <w:bCs w:val="false"/>
          <w:color w:val="1F2937"/>
          <w:sz w:val="19"/>
          <w:szCs w:val="19"/>
        </w:rPr>
        <w:t xml:space="preserve">9. Risk Register (programme)</w:t>
      </w:r>
    </w:p>
    <w:p>
      <w:pPr>
        <w:spacing w:after="20" w:before="60"/>
      </w:pPr>
      <w:r>
        <w:rPr>
          <w:b w:val="false"/>
          <w:bCs w:val="false"/>
          <w:color w:val="1F2937"/>
          <w:sz w:val="19"/>
          <w:szCs w:val="19"/>
        </w:rPr>
        <w:t xml:space="preserve">10. Programme Acceptance Criteria</w:t>
      </w:r>
    </w:p>
    <w:p>
      <w:pPr>
        <w:spacing w:after="20" w:before="60"/>
      </w:pPr>
      <w:r>
        <w:rPr>
          <w:b w:val="false"/>
          <w:bCs w:val="false"/>
          <w:color w:val="1F2937"/>
          <w:sz w:val="19"/>
          <w:szCs w:val="19"/>
        </w:rPr>
        <w:t xml:space="preserve">11. Assumptions and Open Issues</w:t>
      </w:r>
    </w:p>
    <w:p>
      <w:r>
        <w:br w:type="page"/>
      </w:r>
    </w:p>
    <w:p>
      <w:pPr>
        <w:pStyle w:val="Heading1"/>
        <w:pBdr>
          <w:left w:val="single" w:color="1F3A5F" w:sz="24" w:space="6"/>
        </w:pBdr>
        <w:shd w:fill="EAF1F8" w:color="auto" w:val="clear"/>
        <w:spacing w:after="200" w:before="480"/>
      </w:pPr>
      <w:r>
        <w:t xml:space="preserve">PART A — DESIGN-LEVEL SPECIFICATION</w:t>
      </w:r>
    </w:p>
    <w:p>
      <w:pPr>
        <w:pStyle w:val="Heading1"/>
      </w:pPr>
      <w:r>
        <w:t xml:space="preserve">1. Purpose and Scope</w:t>
      </w:r>
    </w:p>
    <w:p>
      <w:pPr>
        <w:spacing w:after="120"/>
      </w:pPr>
      <w:r>
        <w:t xml:space="preserve">Turns the specifications into a governed delivery programme: what is built in each phase, what must be true to enter and exit each phase, how success is measured, and how the programme is accepted. Core detection (Sections 10–11 of the white paper) and the GenAI/agent rollout (14E) are integrated into one phase plan.</w:t>
      </w:r>
    </w:p>
    <w:p>
      <w:pPr>
        <w:pStyle w:val="Heading1"/>
      </w:pPr>
      <w:r>
        <w:t xml:space="preserve">2. Integrated Phase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880"/>
        <w:gridCol w:w="3050"/>
        <w:gridCol w:w="2598"/>
        <w:gridCol w:w="1796"/>
      </w:tblGrid>
      <w:tr>
        <w:trPr>
          <w:cantSplit/>
          <w:tblHeader/>
        </w:trPr>
        <w:tc>
          <w:tcPr>
            <w:tcW w:type="dxa" w:w="131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Phase</w:t>
            </w:r>
          </w:p>
        </w:tc>
        <w:tc>
          <w:tcPr>
            <w:tcW w:type="dxa" w:w="88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Months</w:t>
            </w:r>
          </w:p>
        </w:tc>
        <w:tc>
          <w:tcPr>
            <w:tcW w:type="dxa" w:w="305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Core detection objective</w:t>
            </w:r>
          </w:p>
        </w:tc>
        <w:tc>
          <w:tcPr>
            <w:tcW w:type="dxa" w:w="259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GenAI / agent objective</w:t>
            </w:r>
          </w:p>
        </w:tc>
        <w:tc>
          <w:tcPr>
            <w:tcW w:type="dxa" w:w="179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Automation level</w:t>
            </w:r>
          </w:p>
        </w:tc>
      </w:tr>
      <w:tr>
        <w:trPr>
          <w:cantSplit/>
          <w:tblHeader w:val="false"/>
        </w:trPr>
        <w:tc>
          <w:tcPr>
            <w:tcW w:type="dxa" w:w="13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 Foundation</w:t>
            </w:r>
          </w:p>
        </w:tc>
        <w:tc>
          <w:tcPr>
            <w:tcW w:type="dxa" w:w="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1–3</w:t>
            </w:r>
          </w:p>
        </w:tc>
        <w:tc>
          <w:tcPr>
            <w:tcW w:type="dxa" w:w="30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Pipeline live; top 5 sources; 30-day baseline collection; dashboards</w:t>
            </w:r>
          </w:p>
        </w:tc>
        <w:tc>
          <w:tcPr>
            <w:tcW w:type="dxa" w:w="25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RAG built; narrative and hypotheses drafted in tickets for analyst review</w:t>
            </w:r>
          </w:p>
        </w:tc>
        <w:tc>
          <w:tcPr>
            <w:tcW w:type="dxa" w:w="17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No automated incidents</w:t>
            </w:r>
          </w:p>
        </w:tc>
      </w:tr>
      <w:tr>
        <w:trPr>
          <w:cantSplit/>
          <w:tblHeader w:val="false"/>
        </w:trPr>
        <w:tc>
          <w:tcPr>
            <w:tcW w:type="dxa" w:w="13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2 Shadow</w:t>
            </w:r>
          </w:p>
        </w:tc>
        <w:tc>
          <w:tcPr>
            <w:tcW w:type="dxa" w:w="8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4–6</w:t>
            </w:r>
          </w:p>
        </w:tc>
        <w:tc>
          <w:tcPr>
            <w:tcW w:type="dxa" w:w="305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Models trained; shadow detection; daily analyst review; tune to &lt; 5% FP; ITSM integration tested</w:t>
            </w:r>
          </w:p>
        </w:tc>
        <w:tc>
          <w:tcPr>
            <w:tcW w:type="dxa" w:w="259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Triage agent on all incidents; Comms agent on P1/P2; humans review all agent actions</w:t>
            </w:r>
          </w:p>
        </w:tc>
        <w:tc>
          <w:tcPr>
            <w:tcW w:type="dxa" w:w="179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Tier 1 agents; incidents still human-raised</w:t>
            </w:r>
          </w:p>
        </w:tc>
      </w:tr>
      <w:tr>
        <w:trPr>
          <w:cantSplit/>
          <w:tblHeader w:val="false"/>
        </w:trPr>
        <w:tc>
          <w:tcPr>
            <w:tcW w:type="dxa" w:w="131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 Controlled automation</w:t>
            </w:r>
          </w:p>
        </w:tc>
        <w:tc>
          <w:tcPr>
            <w:tcW w:type="dxa" w:w="8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7–9</w:t>
            </w:r>
          </w:p>
        </w:tc>
        <w:tc>
          <w:tcPr>
            <w:tcW w:type="dxa" w:w="305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P1/P2 automated incidents; paging live; 4-week parallel review; GNN + Transformer deployed; target 40% MTTD reduction</w:t>
            </w:r>
          </w:p>
        </w:tc>
        <w:tc>
          <w:tcPr>
            <w:tcW w:type="dxa" w:w="25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Diagnostic live; Remediation Tier 1–2 autonomous; Tier 3 approval live; Learning activated</w:t>
            </w:r>
          </w:p>
        </w:tc>
        <w:tc>
          <w:tcPr>
            <w:tcW w:type="dxa" w:w="179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P1/P2 auto; P3/P4 human-reviewed</w:t>
            </w:r>
          </w:p>
        </w:tc>
      </w:tr>
      <w:tr>
        <w:trPr>
          <w:cantSplit/>
          <w:tblHeader w:val="false"/>
        </w:trPr>
        <w:tc>
          <w:tcPr>
            <w:tcW w:type="dxa" w:w="131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4 Full automation</w:t>
            </w:r>
          </w:p>
        </w:tc>
        <w:tc>
          <w:tcPr>
            <w:tcW w:type="dxa" w:w="8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10–12</w:t>
            </w:r>
          </w:p>
        </w:tc>
        <w:tc>
          <w:tcPr>
            <w:tcW w:type="dxa" w:w="305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All severities automated; retraining live; business metrics integrated; precision &gt; 0.85, recall &gt; 0.90; governance complete</w:t>
            </w:r>
          </w:p>
        </w:tc>
        <w:tc>
          <w:tcPr>
            <w:tcW w:type="dxa" w:w="259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Orchestrator managing full flow; PIR automated; runbook self-improvement</w:t>
            </w:r>
          </w:p>
        </w:tc>
        <w:tc>
          <w:tcPr>
            <w:tcW w:type="dxa" w:w="179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All severities auto; Tier 3 with approval</w:t>
            </w:r>
          </w:p>
        </w:tc>
      </w:tr>
    </w:tbl>
    <w:p>
      <w:pPr>
        <w:spacing w:after="80"/>
      </w:pPr>
    </w:p>
    <w:p>
      <w:pPr>
        <w:pStyle w:val="Heading1"/>
      </w:pPr>
      <w:r>
        <w:t xml:space="preserve">3. Workstreams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7"/>
        <w:gridCol w:w="3373"/>
        <w:gridCol w:w="2958"/>
      </w:tblGrid>
      <w:tr>
        <w:trPr>
          <w:cantSplit/>
          <w:tblHeader/>
        </w:trPr>
        <w:tc>
          <w:tcPr>
            <w:tcW w:type="dxa" w:w="330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Workstream</w:t>
            </w:r>
          </w:p>
        </w:tc>
        <w:tc>
          <w:tcPr>
            <w:tcW w:type="dxa" w:w="337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Specs</w:t>
            </w:r>
          </w:p>
        </w:tc>
        <w:tc>
          <w:tcPr>
            <w:tcW w:type="dxa" w:w="295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Lead role</w:t>
            </w:r>
          </w:p>
        </w:tc>
      </w:tr>
      <w:tr>
        <w:trPr>
          <w:cantSplit/>
          <w:tblHeader w:val="false"/>
        </w:trPr>
        <w:tc>
          <w:tcPr>
            <w:tcW w:type="dxa" w:w="33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WS1 Telemetry &amp; pipeline</w:t>
            </w:r>
          </w:p>
        </w:tc>
        <w:tc>
          <w:tcPr>
            <w:tcW w:type="dxa" w:w="337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TS-02, TS-03, TS-04</w:t>
            </w:r>
          </w:p>
        </w:tc>
        <w:tc>
          <w:tcPr>
            <w:tcW w:type="dxa" w:w="29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Data Platform</w:t>
            </w:r>
          </w:p>
        </w:tc>
      </w:tr>
      <w:tr>
        <w:trPr>
          <w:cantSplit/>
          <w:tblHeader w:val="false"/>
        </w:trPr>
        <w:tc>
          <w:tcPr>
            <w:tcW w:type="dxa" w:w="330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WS2 Detection &amp; MLOps</w:t>
            </w:r>
          </w:p>
        </w:tc>
        <w:tc>
          <w:tcPr>
            <w:tcW w:type="dxa" w:w="337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TS-05, TS-06</w:t>
            </w:r>
          </w:p>
        </w:tc>
        <w:tc>
          <w:tcPr>
            <w:tcW w:type="dxa" w:w="295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ML Engineering</w:t>
            </w:r>
          </w:p>
        </w:tc>
      </w:tr>
      <w:tr>
        <w:trPr>
          <w:cantSplit/>
          <w:tblHeader w:val="false"/>
        </w:trPr>
        <w:tc>
          <w:tcPr>
            <w:tcW w:type="dxa" w:w="33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WS3 Decision &amp; ITSM</w:t>
            </w:r>
          </w:p>
        </w:tc>
        <w:tc>
          <w:tcPr>
            <w:tcW w:type="dxa" w:w="337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TS-07, TS-08</w:t>
            </w:r>
          </w:p>
        </w:tc>
        <w:tc>
          <w:tcPr>
            <w:tcW w:type="dxa" w:w="29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SRE Platform / ITSM</w:t>
            </w:r>
          </w:p>
        </w:tc>
      </w:tr>
      <w:tr>
        <w:trPr>
          <w:cantSplit/>
          <w:tblHeader w:val="false"/>
        </w:trPr>
        <w:tc>
          <w:tcPr>
            <w:tcW w:type="dxa" w:w="330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WS4 Platform &amp; resilience</w:t>
            </w:r>
          </w:p>
        </w:tc>
        <w:tc>
          <w:tcPr>
            <w:tcW w:type="dxa" w:w="337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TS-09, TS-11, TS-12</w:t>
            </w:r>
          </w:p>
        </w:tc>
        <w:tc>
          <w:tcPr>
            <w:tcW w:type="dxa" w:w="295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Platform Engineering</w:t>
            </w:r>
          </w:p>
        </w:tc>
      </w:tr>
      <w:tr>
        <w:trPr>
          <w:cantSplit/>
          <w:tblHeader w:val="false"/>
        </w:trPr>
        <w:tc>
          <w:tcPr>
            <w:tcW w:type="dxa" w:w="330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WS5 GenAI &amp; agents</w:t>
            </w:r>
          </w:p>
        </w:tc>
        <w:tc>
          <w:tcPr>
            <w:tcW w:type="dxa" w:w="337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TS-13, TS-14, TS-15, TS-16</w:t>
            </w:r>
          </w:p>
        </w:tc>
        <w:tc>
          <w:tcPr>
            <w:tcW w:type="dxa" w:w="295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AI Engineering</w:t>
            </w:r>
          </w:p>
        </w:tc>
      </w:tr>
      <w:tr>
        <w:trPr>
          <w:cantSplit/>
          <w:tblHeader w:val="false"/>
        </w:trPr>
        <w:tc>
          <w:tcPr>
            <w:tcW w:type="dxa" w:w="3307"/>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WS6 Governance &amp; change</w:t>
            </w:r>
          </w:p>
        </w:tc>
        <w:tc>
          <w:tcPr>
            <w:tcW w:type="dxa" w:w="337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TS-10, TS-17</w:t>
            </w:r>
          </w:p>
        </w:tc>
        <w:tc>
          <w:tcPr>
            <w:tcW w:type="dxa" w:w="295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Programme / Risk</w:t>
            </w:r>
          </w:p>
        </w:tc>
      </w:tr>
    </w:tbl>
    <w:p>
      <w:pPr>
        <w:spacing w:after="80"/>
      </w:pPr>
    </w:p>
    <w:p>
      <w:pPr>
        <w:pStyle w:val="Heading1"/>
        <w:pBdr>
          <w:left w:val="single" w:color="1F3A5F" w:sz="24" w:space="6"/>
        </w:pBdr>
        <w:shd w:fill="EAF1F8" w:color="auto" w:val="clear"/>
        <w:spacing w:after="200" w:before="480"/>
      </w:pPr>
      <w:r>
        <w:t xml:space="preserve">PART B — LOW-LEVEL SPECIFICATION</w:t>
      </w:r>
    </w:p>
    <w:p>
      <w:pPr>
        <w:pStyle w:val="Heading1"/>
      </w:pPr>
      <w:r>
        <w:t xml:space="preserve">4. Readiness Prerequisites (before Phase 1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8"/>
        <w:gridCol w:w="4475"/>
        <w:gridCol w:w="2793"/>
        <w:gridCol w:w="1452"/>
      </w:tblGrid>
      <w:tr>
        <w:trPr>
          <w:cantSplit/>
          <w:tblHeader/>
        </w:trPr>
        <w:tc>
          <w:tcPr>
            <w:tcW w:type="dxa" w:w="91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w:t>
            </w:r>
          </w:p>
        </w:tc>
        <w:tc>
          <w:tcPr>
            <w:tcW w:type="dxa" w:w="447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Prerequisite</w:t>
            </w:r>
          </w:p>
        </w:tc>
        <w:tc>
          <w:tcPr>
            <w:tcW w:type="dxa" w:w="279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Evidence</w:t>
            </w:r>
          </w:p>
        </w:tc>
        <w:tc>
          <w:tcPr>
            <w:tcW w:type="dxa" w:w="145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Owner</w:t>
            </w:r>
          </w:p>
        </w:tc>
      </w:tr>
      <w:tr>
        <w:trPr>
          <w:cantSplit/>
          <w:tblHeader w:val="false"/>
        </w:trPr>
        <w:tc>
          <w:tcPr>
            <w:tcW w:type="dxa" w:w="91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R1</w:t>
            </w:r>
          </w:p>
        </w:tc>
        <w:tc>
          <w:tcPr>
            <w:tcW w:type="dxa" w:w="44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Observability maturity assessment: catalogue of sources, formats, volumes, owners</w:t>
            </w:r>
          </w:p>
        </w:tc>
        <w:tc>
          <w:tcPr>
            <w:tcW w:type="dxa" w:w="27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Source catalogue draft (TS-02 format)</w:t>
            </w:r>
          </w:p>
        </w:tc>
        <w:tc>
          <w:tcPr>
            <w:tcW w:type="dxa" w:w="14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WS1</w:t>
            </w:r>
          </w:p>
        </w:tc>
      </w:tr>
      <w:tr>
        <w:trPr>
          <w:cantSplit/>
          <w:tblHeader w:val="false"/>
        </w:trPr>
        <w:tc>
          <w:tcPr>
            <w:tcW w:type="dxa" w:w="91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R2</w:t>
            </w:r>
          </w:p>
        </w:tc>
        <w:tc>
          <w:tcPr>
            <w:tcW w:type="dxa" w:w="447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CMDB entity model and service dependency map; ≥ 90% production CI coverage, ownership populated</w:t>
            </w:r>
          </w:p>
        </w:tc>
        <w:tc>
          <w:tcPr>
            <w:tcW w:type="dxa" w:w="27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CMDB quality report</w:t>
            </w:r>
          </w:p>
        </w:tc>
        <w:tc>
          <w:tcPr>
            <w:tcW w:type="dxa" w:w="145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CMDB owner</w:t>
            </w:r>
          </w:p>
        </w:tc>
      </w:tr>
      <w:tr>
        <w:trPr>
          <w:cantSplit/>
          <w:tblHeader w:val="false"/>
        </w:trPr>
        <w:tc>
          <w:tcPr>
            <w:tcW w:type="dxa" w:w="91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R3</w:t>
            </w:r>
          </w:p>
        </w:tc>
        <w:tc>
          <w:tcPr>
            <w:tcW w:type="dxa" w:w="44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Pilot production domain chosen with committed team availability</w:t>
            </w:r>
          </w:p>
        </w:tc>
        <w:tc>
          <w:tcPr>
            <w:tcW w:type="dxa" w:w="27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Signed scope note</w:t>
            </w:r>
          </w:p>
        </w:tc>
        <w:tc>
          <w:tcPr>
            <w:tcW w:type="dxa" w:w="14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Programme</w:t>
            </w:r>
          </w:p>
        </w:tc>
      </w:tr>
      <w:tr>
        <w:trPr>
          <w:cantSplit/>
          <w:tblHeader w:val="false"/>
        </w:trPr>
        <w:tc>
          <w:tcPr>
            <w:tcW w:type="dxa" w:w="91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R4</w:t>
            </w:r>
          </w:p>
        </w:tc>
        <w:tc>
          <w:tcPr>
            <w:tcW w:type="dxa" w:w="447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 platform team engaged; API access scope and custom fields agreed</w:t>
            </w:r>
          </w:p>
        </w:tc>
        <w:tc>
          <w:tcPr>
            <w:tcW w:type="dxa" w:w="27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Integration design sign-off</w:t>
            </w:r>
          </w:p>
        </w:tc>
        <w:tc>
          <w:tcPr>
            <w:tcW w:type="dxa" w:w="145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WS3</w:t>
            </w:r>
          </w:p>
        </w:tc>
      </w:tr>
      <w:tr>
        <w:trPr>
          <w:cantSplit/>
          <w:tblHeader w:val="false"/>
        </w:trPr>
        <w:tc>
          <w:tcPr>
            <w:tcW w:type="dxa" w:w="91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R5</w:t>
            </w:r>
          </w:p>
        </w:tc>
        <w:tc>
          <w:tcPr>
            <w:tcW w:type="dxa" w:w="44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ML Governance Committee established; model review and change-control process defined</w:t>
            </w:r>
          </w:p>
        </w:tc>
        <w:tc>
          <w:tcPr>
            <w:tcW w:type="dxa" w:w="27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Terms of reference</w:t>
            </w:r>
          </w:p>
        </w:tc>
        <w:tc>
          <w:tcPr>
            <w:tcW w:type="dxa" w:w="14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WS6</w:t>
            </w:r>
          </w:p>
        </w:tc>
      </w:tr>
      <w:tr>
        <w:trPr>
          <w:cantSplit/>
          <w:tblHeader w:val="false"/>
        </w:trPr>
        <w:tc>
          <w:tcPr>
            <w:tcW w:type="dxa" w:w="91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R6</w:t>
            </w:r>
          </w:p>
        </w:tc>
        <w:tc>
          <w:tcPr>
            <w:tcW w:type="dxa" w:w="447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Incident history export (≥ 12, target 18 months) with root-cause fields; failure-mode taxonomy</w:t>
            </w:r>
          </w:p>
        </w:tc>
        <w:tc>
          <w:tcPr>
            <w:tcW w:type="dxa" w:w="27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Data extract + taxonomy</w:t>
            </w:r>
          </w:p>
        </w:tc>
        <w:tc>
          <w:tcPr>
            <w:tcW w:type="dxa" w:w="145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WS2</w:t>
            </w:r>
          </w:p>
        </w:tc>
      </w:tr>
      <w:tr>
        <w:trPr>
          <w:cantSplit/>
          <w:tblHeader w:val="false"/>
        </w:trPr>
        <w:tc>
          <w:tcPr>
            <w:tcW w:type="dxa" w:w="91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R7</w:t>
            </w:r>
          </w:p>
        </w:tc>
        <w:tc>
          <w:tcPr>
            <w:tcW w:type="dxa" w:w="447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Platform capacity (Kubernetes, storage, network paths from sources) provisioned</w:t>
            </w:r>
          </w:p>
        </w:tc>
        <w:tc>
          <w:tcPr>
            <w:tcW w:type="dxa" w:w="27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Environment readiness checklist</w:t>
            </w:r>
          </w:p>
        </w:tc>
        <w:tc>
          <w:tcPr>
            <w:tcW w:type="dxa" w:w="145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WS4</w:t>
            </w:r>
          </w:p>
        </w:tc>
      </w:tr>
      <w:tr>
        <w:trPr>
          <w:cantSplit/>
          <w:tblHeader w:val="false"/>
        </w:trPr>
        <w:tc>
          <w:tcPr>
            <w:tcW w:type="dxa" w:w="91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R8</w:t>
            </w:r>
          </w:p>
        </w:tc>
        <w:tc>
          <w:tcPr>
            <w:tcW w:type="dxa" w:w="447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LLM provider / self-hosted model approved under residency profile</w:t>
            </w:r>
          </w:p>
        </w:tc>
        <w:tc>
          <w:tcPr>
            <w:tcW w:type="dxa" w:w="27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Risk assessment</w:t>
            </w:r>
          </w:p>
        </w:tc>
        <w:tc>
          <w:tcPr>
            <w:tcW w:type="dxa" w:w="145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WS5 / Risk</w:t>
            </w:r>
          </w:p>
        </w:tc>
      </w:tr>
    </w:tbl>
    <w:p>
      <w:pPr>
        <w:spacing w:after="80"/>
      </w:pPr>
    </w:p>
    <w:p>
      <w:pPr>
        <w:pStyle w:val="Heading1"/>
      </w:pPr>
      <w:r>
        <w:t xml:space="preserve">5. Phase Deliverables and Gates</w:t>
      </w:r>
    </w:p>
    <w:p>
      <w:pPr>
        <w:pStyle w:val="Heading2"/>
      </w:pPr>
      <w:r>
        <w:t xml:space="preserve">5.1 Phase 1 — Foundation (Months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51"/>
        <w:gridCol w:w="4087"/>
      </w:tblGrid>
      <w:tr>
        <w:trPr>
          <w:cantSplit/>
          <w:tblHeader/>
        </w:trPr>
        <w:tc>
          <w:tcPr>
            <w:tcW w:type="dxa" w:w="555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Deliverables</w:t>
            </w:r>
          </w:p>
        </w:tc>
        <w:tc>
          <w:tcPr>
            <w:tcW w:type="dxa" w:w="408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Exit gate (all required)</w:t>
            </w:r>
          </w:p>
        </w:tc>
      </w:tr>
      <w:tr>
        <w:trPr>
          <w:cantSplit/>
          <w:tblHeader w:val="false"/>
        </w:trPr>
        <w:tc>
          <w:tcPr>
            <w:tcW w:type="dxa" w:w="555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OTel agents/gateways deployed; Kafka cluster live; top 5 sources onboarded (</w:t>
            </w:r>
            <w:r>
              <w:rPr>
                <w:rFonts w:ascii="Consolas" w:cs="Consolas" w:eastAsia="Consolas" w:hAnsi="Consolas"/>
                <w:color w:val="9B2C2C"/>
                <w:sz w:val="18"/>
                <w:szCs w:val="18"/>
              </w:rPr>
              <w:t xml:space="preserve">net.lb</w:t>
            </w:r>
            <w:r>
              <w:rPr>
                <w:sz w:val="18"/>
                <w:szCs w:val="18"/>
              </w:rPr>
              <w:t xml:space="preserve">, </w:t>
            </w:r>
            <w:r>
              <w:rPr>
                <w:rFonts w:ascii="Consolas" w:cs="Consolas" w:eastAsia="Consolas" w:hAnsi="Consolas"/>
                <w:color w:val="9B2C2C"/>
                <w:sz w:val="18"/>
                <w:szCs w:val="18"/>
              </w:rPr>
              <w:t xml:space="preserve">app.trace</w:t>
            </w:r>
            <w:r>
              <w:rPr>
                <w:sz w:val="18"/>
                <w:szCs w:val="18"/>
              </w:rPr>
              <w:t xml:space="preserve">, </w:t>
            </w:r>
            <w:r>
              <w:rPr>
                <w:rFonts w:ascii="Consolas" w:cs="Consolas" w:eastAsia="Consolas" w:hAnsi="Consolas"/>
                <w:color w:val="9B2C2C"/>
                <w:sz w:val="18"/>
                <w:szCs w:val="18"/>
              </w:rPr>
              <w:t xml:space="preserve">app.log</w:t>
            </w:r>
            <w:r>
              <w:rPr>
                <w:sz w:val="18"/>
                <w:szCs w:val="18"/>
              </w:rPr>
              <w:t xml:space="preserve">, </w:t>
            </w:r>
            <w:r>
              <w:rPr>
                <w:rFonts w:ascii="Consolas" w:cs="Consolas" w:eastAsia="Consolas" w:hAnsi="Consolas"/>
                <w:color w:val="9B2C2C"/>
                <w:sz w:val="18"/>
                <w:szCs w:val="18"/>
              </w:rPr>
              <w:t xml:space="preserve">app.apigw</w:t>
            </w:r>
            <w:r>
              <w:rPr>
                <w:sz w:val="18"/>
                <w:szCs w:val="18"/>
              </w:rPr>
              <w:t xml:space="preserve">, </w:t>
            </w:r>
            <w:r>
              <w:rPr>
                <w:rFonts w:ascii="Consolas" w:cs="Consolas" w:eastAsia="Consolas" w:hAnsi="Consolas"/>
                <w:color w:val="9B2C2C"/>
                <w:sz w:val="18"/>
                <w:szCs w:val="18"/>
              </w:rPr>
              <w:t xml:space="preserve">plat.host</w:t>
            </w:r>
            <w:r>
              <w:rPr>
                <w:sz w:val="18"/>
                <w:szCs w:val="18"/>
              </w:rPr>
              <w:t xml:space="preserve"> + </w:t>
            </w:r>
            <w:r>
              <w:rPr>
                <w:rFonts w:ascii="Consolas" w:cs="Consolas" w:eastAsia="Consolas" w:hAnsi="Consolas"/>
                <w:color w:val="9B2C2C"/>
                <w:sz w:val="18"/>
                <w:szCs w:val="18"/>
              </w:rPr>
              <w:t xml:space="preserve">plat.k8s</w:t>
            </w:r>
            <w:r>
              <w:rPr>
                <w:sz w:val="18"/>
                <w:szCs w:val="18"/>
              </w:rPr>
              <w:t xml:space="preserve">, </w:t>
            </w:r>
            <w:r>
              <w:rPr>
                <w:rFonts w:ascii="Consolas" w:cs="Consolas" w:eastAsia="Consolas" w:hAnsi="Consolas"/>
                <w:color w:val="9B2C2C"/>
                <w:sz w:val="18"/>
                <w:szCs w:val="18"/>
              </w:rPr>
              <w:t xml:space="preserve">db.pool</w:t>
            </w:r>
            <w:r>
              <w:rPr>
                <w:sz w:val="18"/>
                <w:szCs w:val="18"/>
              </w:rPr>
              <w:t xml:space="preserve">, </w:t>
            </w:r>
            <w:r>
              <w:rPr>
                <w:rFonts w:ascii="Consolas" w:cs="Consolas" w:eastAsia="Consolas" w:hAnsi="Consolas"/>
                <w:color w:val="9B2C2C"/>
                <w:sz w:val="18"/>
                <w:szCs w:val="18"/>
              </w:rPr>
              <w:t xml:space="preserve">biz.kpi</w:t>
            </w:r>
            <w:r>
              <w:rPr>
                <w:sz w:val="18"/>
                <w:szCs w:val="18"/>
              </w:rPr>
              <w:t xml:space="preserve"> — select 5 per pilot); ECS mappings with golden tests; entity resolution; Feature Store; dashboards; 30-day baseline; RAG indexes; GenAI F1/F2 drafting in tickets</w:t>
            </w:r>
          </w:p>
        </w:tc>
        <w:tc>
          <w:tcPr>
            <w:tcW w:type="dxa" w:w="408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TS01-AC-001 for onboarded sources; TS03-AC-001/004/005; 30 days continuous baseline data; precursor-premise back-test (TS01-AC-005) report produced; GenAI quality metrics baselined</w:t>
            </w:r>
          </w:p>
        </w:tc>
      </w:tr>
    </w:tbl>
    <w:p>
      <w:pPr>
        <w:spacing w:after="80"/>
      </w:pPr>
    </w:p>
    <w:p>
      <w:pPr>
        <w:pStyle w:val="Heading2"/>
      </w:pPr>
      <w:r>
        <w:t xml:space="preserve">5.2 Phase 2 — Shadow (Months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0"/>
        <w:gridCol w:w="4498"/>
      </w:tblGrid>
      <w:tr>
        <w:trPr>
          <w:cantSplit/>
          <w:tblHeader/>
        </w:trPr>
        <w:tc>
          <w:tcPr>
            <w:tcW w:type="dxa" w:w="514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Deliverables</w:t>
            </w:r>
          </w:p>
        </w:tc>
        <w:tc>
          <w:tcPr>
            <w:tcW w:type="dxa" w:w="449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Exit gate</w:t>
            </w:r>
          </w:p>
        </w:tc>
      </w:tr>
      <w:tr>
        <w:trPr>
          <w:cantSplit/>
          <w:tblHeader w:val="false"/>
        </w:trPr>
        <w:tc>
          <w:tcPr>
            <w:tcW w:type="dxa" w:w="514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M1, M2, M5 trained; shadow detection to </w:t>
            </w:r>
            <w:r>
              <w:rPr>
                <w:rFonts w:ascii="Consolas" w:cs="Consolas" w:eastAsia="Consolas" w:hAnsi="Consolas"/>
                <w:color w:val="9B2C2C"/>
                <w:sz w:val="18"/>
                <w:szCs w:val="18"/>
              </w:rPr>
              <w:t xml:space="preserve">ml.detections</w:t>
            </w:r>
            <w:r>
              <w:rPr>
                <w:sz w:val="18"/>
                <w:szCs w:val="18"/>
              </w:rPr>
              <w:t xml:space="preserve">; Decision Engine in shadow; daily analyst review ritual; suppression tuning; ITSM integration tested in non-prod; Triage + Comms agents live (Tier 1)</w:t>
            </w:r>
          </w:p>
        </w:tc>
        <w:tc>
          <w:tcPr>
            <w:tcW w:type="dxa" w:w="44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Shadow FP rate &lt; 5% for 3 consecutive weeks on P1/P2-equivalent decisions; TS07-AC-001–004; TS08-AC-001–005; agent escalation paths tested; SLA tracking live</w:t>
            </w:r>
          </w:p>
        </w:tc>
      </w:tr>
    </w:tbl>
    <w:p>
      <w:pPr>
        <w:spacing w:after="80"/>
      </w:pPr>
    </w:p>
    <w:p>
      <w:pPr>
        <w:pStyle w:val="Heading2"/>
      </w:pPr>
      <w:r>
        <w:t xml:space="preserve">5.3 Phase 3 — Controlled automation (Months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1"/>
        <w:gridCol w:w="4617"/>
      </w:tblGrid>
      <w:tr>
        <w:trPr>
          <w:cantSplit/>
          <w:tblHeader/>
        </w:trPr>
        <w:tc>
          <w:tcPr>
            <w:tcW w:type="dxa" w:w="502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Deliverables</w:t>
            </w:r>
          </w:p>
        </w:tc>
        <w:tc>
          <w:tcPr>
            <w:tcW w:type="dxa" w:w="4617"/>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Exit gate</w:t>
            </w:r>
          </w:p>
        </w:tc>
      </w:tr>
      <w:tr>
        <w:trPr>
          <w:cantSplit/>
          <w:tblHeader w:val="false"/>
        </w:trPr>
        <w:tc>
          <w:tcPr>
            <w:tcW w:type="dxa" w:w="502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P1/P2 auto-incidents; paging live; 4-week parallel run (auto vs. human process); GNN + Transformer deployed; Diagnostic agent; Remediation Tier 1–2; Tier 3 approvals; Learning agent</w:t>
            </w:r>
          </w:p>
        </w:tc>
        <w:tc>
          <w:tcPr>
            <w:tcW w:type="dxa" w:w="4617"/>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MTTD reduction ≥ 40% vs. baseline on P1/P2; no missed P1 attributable to automation in parallel run; TS15-AC-004/005; TS16-AC-001–006; ensemble F1 ≥ 0.80</w:t>
            </w:r>
          </w:p>
        </w:tc>
      </w:tr>
    </w:tbl>
    <w:p>
      <w:pPr>
        <w:spacing w:after="80"/>
      </w:pPr>
    </w:p>
    <w:p>
      <w:pPr>
        <w:pStyle w:val="Heading2"/>
      </w:pPr>
      <w:r>
        <w:t xml:space="preserve">5.4 Phase 4 — Full automation (Months 10–12)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2"/>
        <w:gridCol w:w="4756"/>
      </w:tblGrid>
      <w:tr>
        <w:trPr>
          <w:cantSplit/>
          <w:tblHeader/>
        </w:trPr>
        <w:tc>
          <w:tcPr>
            <w:tcW w:type="dxa" w:w="488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Deliverables</w:t>
            </w:r>
          </w:p>
        </w:tc>
        <w:tc>
          <w:tcPr>
            <w:tcW w:type="dxa" w:w="475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Exit gate (programme acceptance)</w:t>
            </w:r>
          </w:p>
        </w:tc>
      </w:tr>
      <w:tr>
        <w:trPr>
          <w:cantSplit/>
          <w:tblHeader w:val="false"/>
        </w:trPr>
        <w:tc>
          <w:tcPr>
            <w:tcW w:type="dxa" w:w="48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All severities automated; daily retraining live; business metrics integrated; Orchestrator full flow; PIR automation; runbook self-improvement; governance documentation complete</w:t>
            </w:r>
          </w:p>
        </w:tc>
        <w:tc>
          <w:tcPr>
            <w:tcW w:type="dxa" w:w="475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KPI targets in §6 met or formally waived; KRIs green for 4 weeks; DR test passed (TS09-AC-002); governance report (TS10-AC-005); audit reconstruction test (TS10-AC-001)</w:t>
            </w:r>
          </w:p>
        </w:tc>
      </w:tr>
    </w:tbl>
    <w:p>
      <w:pPr>
        <w:spacing w:after="80"/>
      </w:pPr>
    </w:p>
    <w:p>
      <w:pPr>
        <w:pStyle w:val="Heading2"/>
      </w:pPr>
      <w:r>
        <w:t xml:space="preserve">5.5 Gate governance</w:t>
      </w:r>
    </w:p>
    <w:p>
      <w:pPr>
        <w:spacing w:after="120"/>
      </w:pPr>
      <w:r>
        <w:t xml:space="preserve">Each gate is reviewed by the programme board with ML Governance Committee representation. Outcomes: Pass, Pass with conditions (actions with dates), or Hold. A phase cap (TS-16 §4.2) cannot be lifted until the gate passes.</w:t>
      </w:r>
    </w:p>
    <w:p>
      <w:pPr>
        <w:pStyle w:val="Heading1"/>
      </w:pPr>
      <w:r>
        <w:t xml:space="preserve">6. KPI Definitions</w:t>
      </w:r>
    </w:p>
    <w:p>
      <w:pPr>
        <w:pStyle w:val="Heading2"/>
      </w:pPr>
      <w:r>
        <w:t xml:space="preserve">6.1 Core detection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2693"/>
        <w:gridCol w:w="2412"/>
        <w:gridCol w:w="1963"/>
        <w:gridCol w:w="1065"/>
      </w:tblGrid>
      <w:tr>
        <w:trPr>
          <w:cantSplit/>
          <w:tblHeader/>
        </w:trPr>
        <w:tc>
          <w:tcPr>
            <w:tcW w:type="dxa" w:w="150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KPI</w:t>
            </w:r>
          </w:p>
        </w:tc>
        <w:tc>
          <w:tcPr>
            <w:tcW w:type="dxa" w:w="269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Formula</w:t>
            </w:r>
          </w:p>
        </w:tc>
        <w:tc>
          <w:tcPr>
            <w:tcW w:type="dxa" w:w="241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Data source</w:t>
            </w:r>
          </w:p>
        </w:tc>
        <w:tc>
          <w:tcPr>
            <w:tcW w:type="dxa" w:w="196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Baseline method</w:t>
            </w:r>
          </w:p>
        </w:tc>
        <w:tc>
          <w:tcPr>
            <w:tcW w:type="dxa" w:w="106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Month-12 target</w:t>
            </w:r>
          </w:p>
        </w:tc>
      </w:tr>
      <w:tr>
        <w:trPr>
          <w:cantSplit/>
          <w:tblHeader w:val="false"/>
        </w:trPr>
        <w:tc>
          <w:tcPr>
            <w:tcW w:type="dxa" w:w="1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MTTD reduction</w:t>
            </w:r>
          </w:p>
        </w:tc>
        <w:tc>
          <w:tcPr>
            <w:tcW w:type="dxa" w:w="26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1 − (MTTD_now / MTTD_baseline); MTTD = mean(incident_raised_ts − earliest_precursor_ts)</w:t>
            </w:r>
          </w:p>
        </w:tc>
        <w:tc>
          <w:tcPr>
            <w:tcW w:type="dxa" w:w="2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ITSM + detection audit; earliest precursor determined in post-incident review</w:t>
            </w:r>
          </w:p>
        </w:tc>
        <w:tc>
          <w:tcPr>
            <w:tcW w:type="dxa" w:w="196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30-day pre-implementation window, same severity mix</w:t>
            </w:r>
          </w:p>
        </w:tc>
        <w:tc>
          <w:tcPr>
            <w:tcW w:type="dxa" w:w="10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70%</w:t>
            </w:r>
          </w:p>
        </w:tc>
      </w:tr>
      <w:tr>
        <w:trPr>
          <w:cantSplit/>
          <w:tblHeader w:val="false"/>
        </w:trPr>
        <w:tc>
          <w:tcPr>
            <w:tcW w:type="dxa" w:w="15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MTTR reduction</w:t>
            </w:r>
          </w:p>
        </w:tc>
        <w:tc>
          <w:tcPr>
            <w:tcW w:type="dxa" w:w="26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1 − (MTTR_now / MTTR_baseline); MTTR = mean(resolved_ts − raised_ts)</w:t>
            </w:r>
          </w:p>
        </w:tc>
        <w:tc>
          <w:tcPr>
            <w:tcW w:type="dxa" w:w="2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w:t>
            </w:r>
          </w:p>
        </w:tc>
        <w:tc>
          <w:tcPr>
            <w:tcW w:type="dxa" w:w="196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90-day pre-implementation</w:t>
            </w:r>
          </w:p>
        </w:tc>
        <w:tc>
          <w:tcPr>
            <w:tcW w:type="dxa" w:w="106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40%</w:t>
            </w:r>
          </w:p>
        </w:tc>
      </w:tr>
      <w:tr>
        <w:trPr>
          <w:cantSplit/>
          <w:tblHeader w:val="false"/>
        </w:trPr>
        <w:tc>
          <w:tcPr>
            <w:tcW w:type="dxa" w:w="1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False positive rate</w:t>
            </w:r>
          </w:p>
        </w:tc>
        <w:tc>
          <w:tcPr>
            <w:tcW w:type="dxa" w:w="26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FP-labelled auto-created tickets / auto-created tickets (P1–P3), rolling 30 d</w:t>
            </w:r>
          </w:p>
        </w:tc>
        <w:tc>
          <w:tcPr>
            <w:tcW w:type="dxa" w:w="2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feedback.labels</w:t>
            </w:r>
          </w:p>
        </w:tc>
        <w:tc>
          <w:tcPr>
            <w:tcW w:type="dxa" w:w="196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c>
          <w:tcPr>
            <w:tcW w:type="dxa" w:w="10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&lt; 5%</w:t>
            </w:r>
          </w:p>
        </w:tc>
      </w:tr>
      <w:tr>
        <w:trPr>
          <w:cantSplit/>
          <w:tblHeader w:val="false"/>
        </w:trPr>
        <w:tc>
          <w:tcPr>
            <w:tcW w:type="dxa" w:w="15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Detection coverage (proactive)</w:t>
            </w:r>
          </w:p>
        </w:tc>
        <w:tc>
          <w:tcPr>
            <w:tcW w:type="dxa" w:w="26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Confirmed incidents where solution alerted before user/external report / all confirmed incidents</w:t>
            </w:r>
          </w:p>
        </w:tc>
        <w:tc>
          <w:tcPr>
            <w:tcW w:type="dxa" w:w="2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 + audit</w:t>
            </w:r>
          </w:p>
        </w:tc>
        <w:tc>
          <w:tcPr>
            <w:tcW w:type="dxa" w:w="196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106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75%</w:t>
            </w:r>
          </w:p>
        </w:tc>
      </w:tr>
      <w:tr>
        <w:trPr>
          <w:cantSplit/>
          <w:tblHeader w:val="false"/>
        </w:trPr>
        <w:tc>
          <w:tcPr>
            <w:tcW w:type="dxa" w:w="1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Alert volume reduction</w:t>
            </w:r>
          </w:p>
        </w:tc>
        <w:tc>
          <w:tcPr>
            <w:tcW w:type="dxa" w:w="26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1 − (alerts reaching humans now / baseline)</w:t>
            </w:r>
          </w:p>
        </w:tc>
        <w:tc>
          <w:tcPr>
            <w:tcW w:type="dxa" w:w="2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Paging + ITSM</w:t>
            </w:r>
          </w:p>
        </w:tc>
        <w:tc>
          <w:tcPr>
            <w:tcW w:type="dxa" w:w="196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30-day baseline</w:t>
            </w:r>
          </w:p>
        </w:tc>
        <w:tc>
          <w:tcPr>
            <w:tcW w:type="dxa" w:w="10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30%</w:t>
            </w:r>
          </w:p>
        </w:tc>
      </w:tr>
      <w:tr>
        <w:trPr>
          <w:cantSplit/>
          <w:tblHeader w:val="false"/>
        </w:trPr>
        <w:tc>
          <w:tcPr>
            <w:tcW w:type="dxa" w:w="15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P1 incident rate</w:t>
            </w:r>
          </w:p>
        </w:tc>
        <w:tc>
          <w:tcPr>
            <w:tcW w:type="dxa" w:w="26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1 − (P1 count per month now / baseline monthly average)</w:t>
            </w:r>
          </w:p>
        </w:tc>
        <w:tc>
          <w:tcPr>
            <w:tcW w:type="dxa" w:w="2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w:t>
            </w:r>
          </w:p>
        </w:tc>
        <w:tc>
          <w:tcPr>
            <w:tcW w:type="dxa" w:w="196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6-month baseline</w:t>
            </w:r>
          </w:p>
        </w:tc>
        <w:tc>
          <w:tcPr>
            <w:tcW w:type="dxa" w:w="106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25% reduction</w:t>
            </w:r>
          </w:p>
        </w:tc>
      </w:tr>
      <w:tr>
        <w:trPr>
          <w:cantSplit/>
          <w:tblHeader w:val="false"/>
        </w:trPr>
        <w:tc>
          <w:tcPr>
            <w:tcW w:type="dxa" w:w="150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Analyst feedback rate</w:t>
            </w:r>
          </w:p>
        </w:tc>
        <w:tc>
          <w:tcPr>
            <w:tcW w:type="dxa" w:w="269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P1/P2 auto-incidents labelled within severity SLA / P1/P2 auto-incidents</w:t>
            </w:r>
          </w:p>
        </w:tc>
        <w:tc>
          <w:tcPr>
            <w:tcW w:type="dxa" w:w="241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rFonts w:ascii="Consolas" w:cs="Consolas" w:eastAsia="Consolas" w:hAnsi="Consolas"/>
                <w:color w:val="9B2C2C"/>
                <w:sz w:val="18"/>
                <w:szCs w:val="18"/>
              </w:rPr>
              <w:t xml:space="preserve">feedback.labels</w:t>
            </w:r>
          </w:p>
        </w:tc>
        <w:tc>
          <w:tcPr>
            <w:tcW w:type="dxa" w:w="196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w:t>
            </w:r>
          </w:p>
        </w:tc>
        <w:tc>
          <w:tcPr>
            <w:tcW w:type="dxa" w:w="106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80%</w:t>
            </w:r>
          </w:p>
        </w:tc>
      </w:tr>
      <w:tr>
        <w:trPr>
          <w:cantSplit/>
          <w:tblHeader w:val="false"/>
        </w:trPr>
        <w:tc>
          <w:tcPr>
            <w:tcW w:type="dxa" w:w="150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Model accuracy</w:t>
            </w:r>
          </w:p>
        </w:tc>
        <w:tc>
          <w:tcPr>
            <w:tcW w:type="dxa" w:w="269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Weighted F1 on held-out labelled validation set, monthly</w:t>
            </w:r>
          </w:p>
        </w:tc>
        <w:tc>
          <w:tcPr>
            <w:tcW w:type="dxa" w:w="241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TS-06 evaluation</w:t>
            </w:r>
          </w:p>
        </w:tc>
        <w:tc>
          <w:tcPr>
            <w:tcW w:type="dxa" w:w="196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w:t>
            </w:r>
          </w:p>
        </w:tc>
        <w:tc>
          <w:tcPr>
            <w:tcW w:type="dxa" w:w="106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0.85</w:t>
            </w:r>
          </w:p>
        </w:tc>
      </w:tr>
    </w:tbl>
    <w:p>
      <w:pPr>
        <w:spacing w:after="80"/>
      </w:pPr>
    </w:p>
    <w:p>
      <w:pPr>
        <w:pStyle w:val="Heading2"/>
      </w:pPr>
      <w:r>
        <w:t xml:space="preserve">6.2 GenAI and agent 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6"/>
        <w:gridCol w:w="4013"/>
        <w:gridCol w:w="1595"/>
        <w:gridCol w:w="1594"/>
      </w:tblGrid>
      <w:tr>
        <w:trPr>
          <w:cantSplit/>
          <w:tblHeader/>
        </w:trPr>
        <w:tc>
          <w:tcPr>
            <w:tcW w:type="dxa" w:w="243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KPI</w:t>
            </w:r>
          </w:p>
        </w:tc>
        <w:tc>
          <w:tcPr>
            <w:tcW w:type="dxa" w:w="401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Formula</w:t>
            </w:r>
          </w:p>
        </w:tc>
        <w:tc>
          <w:tcPr>
            <w:tcW w:type="dxa" w:w="1595"/>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Baseline</w:t>
            </w:r>
          </w:p>
        </w:tc>
        <w:tc>
          <w:tcPr>
            <w:tcW w:type="dxa" w:w="159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Month-12 target</w:t>
            </w:r>
          </w:p>
        </w:tc>
      </w:tr>
      <w:tr>
        <w:trPr>
          <w:cantSplit/>
          <w:tblHeader w:val="false"/>
        </w:trPr>
        <w:tc>
          <w:tcPr>
            <w:tcW w:type="dxa" w:w="24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Mean time to acknowledge P1</w:t>
            </w:r>
          </w:p>
        </w:tc>
        <w:tc>
          <w:tcPr>
            <w:tcW w:type="dxa" w:w="40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mean(first human ack − incident created)</w:t>
            </w:r>
          </w:p>
        </w:tc>
        <w:tc>
          <w:tcPr>
            <w:tcW w:type="dxa" w:w="15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8 min</w:t>
            </w:r>
          </w:p>
        </w:tc>
        <w:tc>
          <w:tcPr>
            <w:tcW w:type="dxa" w:w="15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&lt; 90 s</w:t>
            </w:r>
          </w:p>
        </w:tc>
      </w:tr>
      <w:tr>
        <w:trPr>
          <w:cantSplit/>
          <w:tblHeader w:val="false"/>
        </w:trPr>
        <w:tc>
          <w:tcPr>
            <w:tcW w:type="dxa" w:w="24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Triage accuracy</w:t>
            </w:r>
          </w:p>
        </w:tc>
        <w:tc>
          <w:tcPr>
            <w:tcW w:type="dxa" w:w="40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Incidents where severity and service routing unchanged by analyst / reviewed incidents</w:t>
            </w:r>
          </w:p>
        </w:tc>
        <w:tc>
          <w:tcPr>
            <w:tcW w:type="dxa" w:w="15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60% (manual)</w:t>
            </w:r>
          </w:p>
        </w:tc>
        <w:tc>
          <w:tcPr>
            <w:tcW w:type="dxa" w:w="159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92%</w:t>
            </w:r>
          </w:p>
        </w:tc>
      </w:tr>
      <w:tr>
        <w:trPr>
          <w:cantSplit/>
          <w:tblHeader w:val="false"/>
        </w:trPr>
        <w:tc>
          <w:tcPr>
            <w:tcW w:type="dxa" w:w="24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Root-cause top-3 hit rate</w:t>
            </w:r>
          </w:p>
        </w:tc>
        <w:tc>
          <w:tcPr>
            <w:tcW w:type="dxa" w:w="40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Confirmed root cause ∈ agent's top 3 / incidents with confirmed root cause</w:t>
            </w:r>
          </w:p>
        </w:tc>
        <w:tc>
          <w:tcPr>
            <w:tcW w:type="dxa" w:w="15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n/a</w:t>
            </w:r>
          </w:p>
        </w:tc>
        <w:tc>
          <w:tcPr>
            <w:tcW w:type="dxa" w:w="15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75%</w:t>
            </w:r>
          </w:p>
        </w:tc>
      </w:tr>
      <w:tr>
        <w:trPr>
          <w:cantSplit/>
          <w:tblHeader w:val="false"/>
        </w:trPr>
        <w:tc>
          <w:tcPr>
            <w:tcW w:type="dxa" w:w="24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Remediation automation rate</w:t>
            </w:r>
          </w:p>
        </w:tc>
        <w:tc>
          <w:tcPr>
            <w:tcW w:type="dxa" w:w="40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Tier 1–2 actions executed autonomously / applicable Tier 1–2 actions</w:t>
            </w:r>
          </w:p>
        </w:tc>
        <w:tc>
          <w:tcPr>
            <w:tcW w:type="dxa" w:w="15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0%</w:t>
            </w:r>
          </w:p>
        </w:tc>
        <w:tc>
          <w:tcPr>
            <w:tcW w:type="dxa" w:w="159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60%</w:t>
            </w:r>
          </w:p>
        </w:tc>
      </w:tr>
      <w:tr>
        <w:trPr>
          <w:cantSplit/>
          <w:tblHeader w:val="false"/>
        </w:trPr>
        <w:tc>
          <w:tcPr>
            <w:tcW w:type="dxa" w:w="24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MTTR reduction (agent contribution)</w:t>
            </w:r>
          </w:p>
        </w:tc>
        <w:tc>
          <w:tcPr>
            <w:tcW w:type="dxa" w:w="40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Matched-pair comparison: incidents with vs. without Remediation agent action, same failure mode</w:t>
            </w:r>
          </w:p>
        </w:tc>
        <w:tc>
          <w:tcPr>
            <w:tcW w:type="dxa" w:w="15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Baseline</w:t>
            </w:r>
          </w:p>
        </w:tc>
        <w:tc>
          <w:tcPr>
            <w:tcW w:type="dxa" w:w="15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40% additional</w:t>
            </w:r>
          </w:p>
        </w:tc>
      </w:tr>
      <w:tr>
        <w:trPr>
          <w:cantSplit/>
          <w:tblHeader w:val="false"/>
        </w:trPr>
        <w:tc>
          <w:tcPr>
            <w:tcW w:type="dxa" w:w="24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Agent escalation rate</w:t>
            </w:r>
          </w:p>
        </w:tc>
        <w:tc>
          <w:tcPr>
            <w:tcW w:type="dxa" w:w="40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Incidents needing human takeover before resolution / incidents</w:t>
            </w:r>
          </w:p>
        </w:tc>
        <w:tc>
          <w:tcPr>
            <w:tcW w:type="dxa" w:w="15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n/a</w:t>
            </w:r>
          </w:p>
        </w:tc>
        <w:tc>
          <w:tcPr>
            <w:tcW w:type="dxa" w:w="159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&lt; 20%</w:t>
            </w:r>
          </w:p>
        </w:tc>
      </w:tr>
      <w:tr>
        <w:trPr>
          <w:cantSplit/>
          <w:tblHeader w:val="false"/>
        </w:trPr>
        <w:tc>
          <w:tcPr>
            <w:tcW w:type="dxa" w:w="24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PIR automation</w:t>
            </w:r>
          </w:p>
        </w:tc>
        <w:tc>
          <w:tcPr>
            <w:tcW w:type="dxa" w:w="40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PIRs generated by Learning agent without human drafting / PIRs</w:t>
            </w:r>
          </w:p>
        </w:tc>
        <w:tc>
          <w:tcPr>
            <w:tcW w:type="dxa" w:w="15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0%</w:t>
            </w:r>
          </w:p>
        </w:tc>
        <w:tc>
          <w:tcPr>
            <w:tcW w:type="dxa" w:w="15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90%</w:t>
            </w:r>
          </w:p>
        </w:tc>
      </w:tr>
      <w:tr>
        <w:trPr>
          <w:cantSplit/>
          <w:tblHeader w:val="false"/>
        </w:trPr>
        <w:tc>
          <w:tcPr>
            <w:tcW w:type="dxa" w:w="24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LLM factual accuracy</w:t>
            </w:r>
          </w:p>
        </w:tc>
        <w:tc>
          <w:tcPr>
            <w:tcW w:type="dxa" w:w="401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Grounded quantitative claims / quantitative claims checked</w:t>
            </w:r>
          </w:p>
        </w:tc>
        <w:tc>
          <w:tcPr>
            <w:tcW w:type="dxa" w:w="1595"/>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n/a</w:t>
            </w:r>
          </w:p>
        </w:tc>
        <w:tc>
          <w:tcPr>
            <w:tcW w:type="dxa" w:w="159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 98%</w:t>
            </w:r>
          </w:p>
        </w:tc>
      </w:tr>
      <w:tr>
        <w:trPr>
          <w:cantSplit/>
          <w:tblHeader w:val="false"/>
        </w:trPr>
        <w:tc>
          <w:tcPr>
            <w:tcW w:type="dxa" w:w="24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Analyst satisfaction</w:t>
            </w:r>
          </w:p>
        </w:tc>
        <w:tc>
          <w:tcPr>
            <w:tcW w:type="dxa" w:w="401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Quarterly survey mean (1–5)</w:t>
            </w:r>
          </w:p>
        </w:tc>
        <w:tc>
          <w:tcPr>
            <w:tcW w:type="dxa" w:w="1595"/>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Baseline survey</w:t>
            </w:r>
          </w:p>
        </w:tc>
        <w:tc>
          <w:tcPr>
            <w:tcW w:type="dxa" w:w="159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 4.0</w:t>
            </w:r>
          </w:p>
        </w:tc>
      </w:tr>
    </w:tbl>
    <w:p>
      <w:pPr>
        <w:spacing w:after="80"/>
      </w:pPr>
    </w:p>
    <w:p>
      <w:pPr>
        <w:pStyle w:val="Heading2"/>
      </w:pPr>
      <w:r>
        <w:t xml:space="preserve">6.3 KPI-to-component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3"/>
        <w:gridCol w:w="4971"/>
        <w:gridCol w:w="2734"/>
      </w:tblGrid>
      <w:tr>
        <w:trPr>
          <w:cantSplit/>
          <w:tblHeader/>
        </w:trPr>
        <w:tc>
          <w:tcPr>
            <w:tcW w:type="dxa" w:w="1933"/>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KPI</w:t>
            </w:r>
          </w:p>
        </w:tc>
        <w:tc>
          <w:tcPr>
            <w:tcW w:type="dxa" w:w="4971"/>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Driving components</w:t>
            </w:r>
          </w:p>
        </w:tc>
        <w:tc>
          <w:tcPr>
            <w:tcW w:type="dxa" w:w="2734"/>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Specs</w:t>
            </w:r>
          </w:p>
        </w:tc>
      </w:tr>
      <w:tr>
        <w:trPr>
          <w:cantSplit/>
          <w:tblHeader w:val="false"/>
        </w:trPr>
        <w:tc>
          <w:tcPr>
            <w:tcW w:type="dxa" w:w="19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MTTD</w:t>
            </w:r>
          </w:p>
        </w:tc>
        <w:tc>
          <w:tcPr>
            <w:tcW w:type="dxa" w:w="497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Ensemble, six domains, baselining, proactive detection; Triage and Diagnostic agents</w:t>
            </w:r>
          </w:p>
        </w:tc>
        <w:tc>
          <w:tcPr>
            <w:tcW w:type="dxa" w:w="27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TS-02, TS-05, TS-06, TS-15</w:t>
            </w:r>
          </w:p>
        </w:tc>
      </w:tr>
      <w:tr>
        <w:trPr>
          <w:cantSplit/>
          <w:tblHeader w:val="false"/>
        </w:trPr>
        <w:tc>
          <w:tcPr>
            <w:tcW w:type="dxa" w:w="19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MTTR</w:t>
            </w:r>
          </w:p>
        </w:tc>
        <w:tc>
          <w:tcPr>
            <w:tcW w:type="dxa" w:w="497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Payload enrichment, runbook linking, hypotheses, GenAI narrative, Remediation Tier 1–2</w:t>
            </w:r>
          </w:p>
        </w:tc>
        <w:tc>
          <w:tcPr>
            <w:tcW w:type="dxa" w:w="27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TS-07, TS-08, TS-13, TS-15</w:t>
            </w:r>
          </w:p>
        </w:tc>
      </w:tr>
      <w:tr>
        <w:trPr>
          <w:cantSplit/>
          <w:tblHeader w:val="false"/>
        </w:trPr>
        <w:tc>
          <w:tcPr>
            <w:tcW w:type="dxa" w:w="19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 rate</w:t>
            </w:r>
          </w:p>
        </w:tc>
        <w:tc>
          <w:tcPr>
            <w:tcW w:type="dxa" w:w="497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Five suppression filters, feedback retraining, Triage duplicate check</w:t>
            </w:r>
          </w:p>
        </w:tc>
        <w:tc>
          <w:tcPr>
            <w:tcW w:type="dxa" w:w="27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TS-07, TS-11, TS-15</w:t>
            </w:r>
          </w:p>
        </w:tc>
      </w:tr>
      <w:tr>
        <w:trPr>
          <w:cantSplit/>
          <w:tblHeader w:val="false"/>
        </w:trPr>
        <w:tc>
          <w:tcPr>
            <w:tcW w:type="dxa" w:w="19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Coverage</w:t>
            </w:r>
          </w:p>
        </w:tc>
        <w:tc>
          <w:tcPr>
            <w:tcW w:type="dxa" w:w="497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Domain breadth, GNN topology, cross-layer correlation, RAG similarity</w:t>
            </w:r>
          </w:p>
        </w:tc>
        <w:tc>
          <w:tcPr>
            <w:tcW w:type="dxa" w:w="27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TS-02, TS-05, TS-07, TS-13</w:t>
            </w:r>
          </w:p>
        </w:tc>
      </w:tr>
      <w:tr>
        <w:trPr>
          <w:cantSplit/>
          <w:tblHeader w:val="false"/>
        </w:trPr>
        <w:tc>
          <w:tcPr>
            <w:tcW w:type="dxa" w:w="19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Alert volume</w:t>
            </w:r>
          </w:p>
        </w:tc>
        <w:tc>
          <w:tcPr>
            <w:tcW w:type="dxa" w:w="497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Dedup, suppression, Isolation Forest filtering, flap suppression</w:t>
            </w:r>
          </w:p>
        </w:tc>
        <w:tc>
          <w:tcPr>
            <w:tcW w:type="dxa" w:w="27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TS-03, TS-05, TS-07</w:t>
            </w:r>
          </w:p>
        </w:tc>
      </w:tr>
      <w:tr>
        <w:trPr>
          <w:cantSplit/>
          <w:tblHeader w:val="false"/>
        </w:trPr>
        <w:tc>
          <w:tcPr>
            <w:tcW w:type="dxa" w:w="19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P1 rate</w:t>
            </w:r>
          </w:p>
        </w:tc>
        <w:tc>
          <w:tcPr>
            <w:tcW w:type="dxa" w:w="497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Early P3/P4 detection, pre-emptive Tier 1–2 actions, precursor model</w:t>
            </w:r>
          </w:p>
        </w:tc>
        <w:tc>
          <w:tcPr>
            <w:tcW w:type="dxa" w:w="27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TS-05, TS-07, TS-15</w:t>
            </w:r>
          </w:p>
        </w:tc>
      </w:tr>
      <w:tr>
        <w:trPr>
          <w:cantSplit/>
          <w:tblHeader w:val="false"/>
        </w:trPr>
        <w:tc>
          <w:tcPr>
            <w:tcW w:type="dxa" w:w="1933"/>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Feedback rate</w:t>
            </w:r>
          </w:p>
        </w:tc>
        <w:tc>
          <w:tcPr>
            <w:tcW w:type="dxa" w:w="4971"/>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Bidirectional ITSM loop, note parsing, rich payload</w:t>
            </w:r>
          </w:p>
        </w:tc>
        <w:tc>
          <w:tcPr>
            <w:tcW w:type="dxa" w:w="2734"/>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TS-08, TS-11, TS-13</w:t>
            </w:r>
          </w:p>
        </w:tc>
      </w:tr>
      <w:tr>
        <w:trPr>
          <w:cantSplit/>
          <w:tblHeader w:val="false"/>
        </w:trPr>
        <w:tc>
          <w:tcPr>
            <w:tcW w:type="dxa" w:w="1933"/>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Model F1</w:t>
            </w:r>
          </w:p>
        </w:tc>
        <w:tc>
          <w:tcPr>
            <w:tcW w:type="dxa" w:w="4971"/>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Daily retraining, labels, weighted voting, shadow promotion</w:t>
            </w:r>
          </w:p>
        </w:tc>
        <w:tc>
          <w:tcPr>
            <w:tcW w:type="dxa" w:w="2734"/>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TS-05, TS-06</w:t>
            </w:r>
          </w:p>
        </w:tc>
      </w:tr>
    </w:tbl>
    <w:p>
      <w:pPr>
        <w:spacing w:after="80"/>
      </w:pPr>
    </w:p>
    <w:p>
      <w:pPr>
        <w:pStyle w:val="Heading1"/>
      </w:pPr>
      <w:r>
        <w:t xml:space="preserve">7. KRI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0"/>
        <w:gridCol w:w="2636"/>
        <w:gridCol w:w="2042"/>
        <w:gridCol w:w="2480"/>
      </w:tblGrid>
      <w:tr>
        <w:trPr>
          <w:cantSplit/>
          <w:tblHeader/>
        </w:trPr>
        <w:tc>
          <w:tcPr>
            <w:tcW w:type="dxa" w:w="248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KRI</w:t>
            </w:r>
          </w:p>
        </w:tc>
        <w:tc>
          <w:tcPr>
            <w:tcW w:type="dxa" w:w="263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Threshold</w:t>
            </w:r>
          </w:p>
        </w:tc>
        <w:tc>
          <w:tcPr>
            <w:tcW w:type="dxa" w:w="204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KPIs at risk</w:t>
            </w:r>
          </w:p>
        </w:tc>
        <w:tc>
          <w:tcPr>
            <w:tcW w:type="dxa" w:w="248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Response (spec)</w:t>
            </w:r>
          </w:p>
        </w:tc>
      </w:tr>
      <w:tr>
        <w:trPr>
          <w:cantSplit/>
          <w:tblHeader w:val="false"/>
        </w:trPr>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Model distribution drift (PSI)</w:t>
            </w:r>
          </w:p>
        </w:tc>
        <w:tc>
          <w:tcPr>
            <w:tcW w:type="dxa" w:w="26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0.2</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F1, MTTD, FP</w:t>
            </w:r>
          </w:p>
        </w:tc>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Retrain (TS-06, TS-11)</w:t>
            </w:r>
          </w:p>
        </w:tc>
      </w:tr>
      <w:tr>
        <w:trPr>
          <w:cantSplit/>
          <w:tblHeader w:val="false"/>
        </w:trPr>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Pipeline end-to-end latency P99</w:t>
            </w:r>
          </w:p>
        </w:tc>
        <w:tc>
          <w:tcPr>
            <w:tcW w:type="dxa" w:w="26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30 s for 5 min</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MTTD, coverage</w:t>
            </w:r>
          </w:p>
        </w:tc>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Scale (TS-12)</w:t>
            </w:r>
          </w:p>
        </w:tc>
      </w:tr>
      <w:tr>
        <w:trPr>
          <w:cantSplit/>
          <w:tblHeader w:val="false"/>
        </w:trPr>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Kafka consumer lag</w:t>
            </w:r>
          </w:p>
        </w:tc>
        <w:tc>
          <w:tcPr>
            <w:tcW w:type="dxa" w:w="26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50,000 / partition</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MTTD, coverage</w:t>
            </w:r>
          </w:p>
        </w:tc>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Scale, rebalance (TS-12)</w:t>
            </w:r>
          </w:p>
        </w:tc>
      </w:tr>
      <w:tr>
        <w:trPr>
          <w:cantSplit/>
          <w:tblHeader w:val="false"/>
        </w:trPr>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Schema validation failure rate</w:t>
            </w:r>
          </w:p>
        </w:tc>
        <w:tc>
          <w:tcPr>
            <w:tcW w:type="dxa" w:w="26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2% per source</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Coverage, F1</w:t>
            </w:r>
          </w:p>
        </w:tc>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Quarantine (TS-03, TS-11)</w:t>
            </w:r>
          </w:p>
        </w:tc>
      </w:tr>
      <w:tr>
        <w:trPr>
          <w:cantSplit/>
          <w:tblHeader w:val="false"/>
        </w:trPr>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 suppression rule coverage</w:t>
            </w:r>
          </w:p>
        </w:tc>
        <w:tc>
          <w:tcPr>
            <w:tcW w:type="dxa" w:w="26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&lt; 3 fires / 30 d</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 coverage</w:t>
            </w:r>
          </w:p>
        </w:tc>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Review, archive (TS-11)</w:t>
            </w:r>
          </w:p>
        </w:tc>
      </w:tr>
      <w:tr>
        <w:trPr>
          <w:cantSplit/>
          <w:tblHeader w:val="false"/>
        </w:trPr>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Feature Store availability</w:t>
            </w:r>
          </w:p>
        </w:tc>
        <w:tc>
          <w:tcPr>
            <w:tcW w:type="dxa" w:w="26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P99 &gt; 10 ms or &lt; 99.9%</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F1, MTTD</w:t>
            </w:r>
          </w:p>
        </w:tc>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Scale (TS-04, TS-12)</w:t>
            </w:r>
          </w:p>
        </w:tc>
      </w:tr>
      <w:tr>
        <w:trPr>
          <w:cantSplit/>
          <w:tblHeader w:val="false"/>
        </w:trPr>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Autonomous threshold drift</w:t>
            </w:r>
          </w:p>
        </w:tc>
        <w:tc>
          <w:tcPr>
            <w:tcW w:type="dxa" w:w="26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±0.15 cumulative</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FP, coverage, P1 rate</w:t>
            </w:r>
          </w:p>
        </w:tc>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Pause, human review (TS-11)</w:t>
            </w:r>
          </w:p>
        </w:tc>
      </w:tr>
      <w:tr>
        <w:trPr>
          <w:cantSplit/>
          <w:tblHeader w:val="false"/>
        </w:trPr>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ITSM integration health</w:t>
            </w:r>
          </w:p>
        </w:tc>
        <w:tc>
          <w:tcPr>
            <w:tcW w:type="dxa" w:w="26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3 consecutive failures</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MTTR, feedback rate</w:t>
            </w:r>
          </w:p>
        </w:tc>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Circuit breaker, replay (TS-08)</w:t>
            </w:r>
          </w:p>
        </w:tc>
      </w:tr>
      <w:tr>
        <w:trPr>
          <w:cantSplit/>
          <w:tblHeader w:val="false"/>
        </w:trPr>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(Added) Agent escalation rate</w:t>
            </w:r>
          </w:p>
        </w:tc>
        <w:tc>
          <w:tcPr>
            <w:tcW w:type="dxa" w:w="263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&gt; 30% weekly</w:t>
            </w:r>
          </w:p>
        </w:tc>
        <w:tc>
          <w:tcPr>
            <w:tcW w:type="dxa" w:w="204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MTTR, MTTA</w:t>
            </w:r>
          </w:p>
        </w:tc>
        <w:tc>
          <w:tcPr>
            <w:tcW w:type="dxa" w:w="248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Review agent profiles (TS-15)</w:t>
            </w:r>
          </w:p>
        </w:tc>
      </w:tr>
      <w:tr>
        <w:trPr>
          <w:cantSplit/>
          <w:tblHeader w:val="false"/>
        </w:trPr>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(Added) Label backlog</w:t>
            </w:r>
          </w:p>
        </w:tc>
        <w:tc>
          <w:tcPr>
            <w:tcW w:type="dxa" w:w="263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&gt; 20% of P1/P2 unlabelled after SLA</w:t>
            </w:r>
          </w:p>
        </w:tc>
        <w:tc>
          <w:tcPr>
            <w:tcW w:type="dxa" w:w="204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F1, FP</w:t>
            </w:r>
          </w:p>
        </w:tc>
        <w:tc>
          <w:tcPr>
            <w:tcW w:type="dxa" w:w="248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Analyst capacity review (TS-17)</w:t>
            </w:r>
          </w:p>
        </w:tc>
      </w:tr>
    </w:tbl>
    <w:p>
      <w:pPr>
        <w:spacing w:after="80"/>
      </w:pPr>
    </w:p>
    <w:p>
      <w:pPr>
        <w:pStyle w:val="Heading1"/>
      </w:pPr>
      <w:r>
        <w:t xml:space="preserve">8. Measurement Rules</w:t>
      </w:r>
    </w:p>
    <w:p>
      <w:pPr>
        <w:pStyle w:val="ListParagraph"/>
        <w:numPr>
          <w:ilvl w:val="0"/>
          <w:numId w:val="2"/>
        </w:numPr>
        <w:spacing w:after="40"/>
      </w:pPr>
      <w:r>
        <w:t xml:space="preserve">Baselines are frozen at Phase 1 exit and documented with query definitions; changes require programme board approval.</w:t>
      </w:r>
    </w:p>
    <w:p>
      <w:pPr>
        <w:pStyle w:val="ListParagraph"/>
        <w:numPr>
          <w:ilvl w:val="0"/>
          <w:numId w:val="2"/>
        </w:numPr>
        <w:spacing w:after="40"/>
      </w:pPr>
      <w:r>
        <w:t xml:space="preserve">KPIs computed by version-controlled queries; dashboard shows formula, data freshness and sample size.</w:t>
      </w:r>
    </w:p>
    <w:p>
      <w:pPr>
        <w:pStyle w:val="ListParagraph"/>
        <w:numPr>
          <w:ilvl w:val="0"/>
          <w:numId w:val="2"/>
        </w:numPr>
        <w:spacing w:after="40"/>
      </w:pPr>
      <w:r>
        <w:t xml:space="preserve">Incidents excluded from KPI denominators: planned changes, test incidents, incidents in sources not yet onboarded (coverage reported separately per onboarded domain).</w:t>
      </w:r>
    </w:p>
    <w:p>
      <w:pPr>
        <w:pStyle w:val="ListParagraph"/>
        <w:numPr>
          <w:ilvl w:val="0"/>
          <w:numId w:val="2"/>
        </w:numPr>
        <w:spacing w:after="40"/>
      </w:pPr>
      <w:r>
        <w:t xml:space="preserve">Earliest precursor timestamp for MTTD is set during post-incident review (Learning agent proposal, human-confirmed).</w:t>
      </w:r>
    </w:p>
    <w:p>
      <w:pPr>
        <w:pStyle w:val="ListParagraph"/>
        <w:numPr>
          <w:ilvl w:val="0"/>
          <w:numId w:val="2"/>
        </w:numPr>
        <w:spacing w:after="40"/>
      </w:pPr>
      <w:r>
        <w:t xml:space="preserve">Monthly report to technology leadership; weekly KRI report to platform team (TS-10 §10).</w:t>
      </w:r>
    </w:p>
    <w:p>
      <w:pPr>
        <w:pStyle w:val="Heading1"/>
      </w:pPr>
      <w:r>
        <w:t xml:space="preserve">9. Risk Register (programme)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9"/>
        <w:gridCol w:w="1282"/>
        <w:gridCol w:w="2498"/>
        <w:gridCol w:w="3139"/>
      </w:tblGrid>
      <w:tr>
        <w:trPr>
          <w:cantSplit/>
          <w:tblHeader/>
        </w:trPr>
        <w:tc>
          <w:tcPr>
            <w:tcW w:type="dxa" w:w="271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Risk</w:t>
            </w:r>
          </w:p>
        </w:tc>
        <w:tc>
          <w:tcPr>
            <w:tcW w:type="dxa" w:w="128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Likelihood</w:t>
            </w:r>
          </w:p>
        </w:tc>
        <w:tc>
          <w:tcPr>
            <w:tcW w:type="dxa" w:w="249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Impact</w:t>
            </w:r>
          </w:p>
        </w:tc>
        <w:tc>
          <w:tcPr>
            <w:tcW w:type="dxa" w:w="3139"/>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Mitigation</w:t>
            </w:r>
          </w:p>
        </w:tc>
      </w:tr>
      <w:tr>
        <w:trPr>
          <w:cantSplit/>
          <w:tblHeader w:val="false"/>
        </w:trPr>
        <w:tc>
          <w:tcPr>
            <w:tcW w:type="dxa" w:w="27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CMDB quality below threshold</w:t>
            </w:r>
          </w:p>
        </w:tc>
        <w:tc>
          <w:tcPr>
            <w:tcW w:type="dxa" w:w="12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High</w:t>
            </w:r>
          </w:p>
        </w:tc>
        <w:tc>
          <w:tcPr>
            <w:tcW w:type="dxa" w:w="24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GNN, routing and blast radius degraded</w:t>
            </w:r>
          </w:p>
        </w:tc>
        <w:tc>
          <w:tcPr>
            <w:tcW w:type="dxa" w:w="31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R2 gate; CMDB data-quality KPI; GNN weight cap (TS-05)</w:t>
            </w:r>
          </w:p>
        </w:tc>
      </w:tr>
      <w:tr>
        <w:trPr>
          <w:cantSplit/>
          <w:tblHeader w:val="false"/>
        </w:trPr>
        <w:tc>
          <w:tcPr>
            <w:tcW w:type="dxa" w:w="27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Insufficient labelled history for Transformer</w:t>
            </w:r>
          </w:p>
        </w:tc>
        <w:tc>
          <w:tcPr>
            <w:tcW w:type="dxa" w:w="128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Medium</w:t>
            </w:r>
          </w:p>
        </w:tc>
        <w:tc>
          <w:tcPr>
            <w:tcW w:type="dxa" w:w="249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Precursor detection weaker</w:t>
            </w:r>
          </w:p>
        </w:tc>
        <w:tc>
          <w:tcPr>
            <w:tcW w:type="dxa" w:w="313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Enable at 12 months corpus; synthetic fault injection labels</w:t>
            </w:r>
          </w:p>
        </w:tc>
      </w:tr>
      <w:tr>
        <w:trPr>
          <w:cantSplit/>
          <w:tblHeader w:val="false"/>
        </w:trPr>
        <w:tc>
          <w:tcPr>
            <w:tcW w:type="dxa" w:w="27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Analyst labelling fatigue</w:t>
            </w:r>
          </w:p>
        </w:tc>
        <w:tc>
          <w:tcPr>
            <w:tcW w:type="dxa" w:w="12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Medium</w:t>
            </w:r>
          </w:p>
        </w:tc>
        <w:tc>
          <w:tcPr>
            <w:tcW w:type="dxa" w:w="24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Feedback loop starves</w:t>
            </w:r>
          </w:p>
        </w:tc>
        <w:tc>
          <w:tcPr>
            <w:tcW w:type="dxa" w:w="31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Low-effort label buttons; F6 note parsing; label backlog KRI</w:t>
            </w:r>
          </w:p>
        </w:tc>
      </w:tr>
      <w:tr>
        <w:trPr>
          <w:cantSplit/>
          <w:tblHeader w:val="false"/>
        </w:trPr>
        <w:tc>
          <w:tcPr>
            <w:tcW w:type="dxa" w:w="27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Over-automation incident caused by agent</w:t>
            </w:r>
          </w:p>
        </w:tc>
        <w:tc>
          <w:tcPr>
            <w:tcW w:type="dxa" w:w="128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Low</w:t>
            </w:r>
          </w:p>
        </w:tc>
        <w:tc>
          <w:tcPr>
            <w:tcW w:type="dxa" w:w="249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High</w:t>
            </w:r>
          </w:p>
        </w:tc>
        <w:tc>
          <w:tcPr>
            <w:tcW w:type="dxa" w:w="313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Phase caps, guardrails, kill switch, reversal</w:t>
            </w:r>
          </w:p>
        </w:tc>
      </w:tr>
      <w:tr>
        <w:trPr>
          <w:cantSplit/>
          <w:tblHeader w:val="false"/>
        </w:trPr>
        <w:tc>
          <w:tcPr>
            <w:tcW w:type="dxa" w:w="271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LLM cost overrun</w:t>
            </w:r>
          </w:p>
        </w:tc>
        <w:tc>
          <w:tcPr>
            <w:tcW w:type="dxa" w:w="128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Medium</w:t>
            </w:r>
          </w:p>
        </w:tc>
        <w:tc>
          <w:tcPr>
            <w:tcW w:type="dxa" w:w="249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Budget</w:t>
            </w:r>
          </w:p>
        </w:tc>
        <w:tc>
          <w:tcPr>
            <w:tcW w:type="dxa" w:w="3139"/>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Token budgets and degradation policy (TS-13 §10)</w:t>
            </w:r>
          </w:p>
        </w:tc>
      </w:tr>
      <w:tr>
        <w:trPr>
          <w:cantSplit/>
          <w:tblHeader w:val="false"/>
        </w:trPr>
        <w:tc>
          <w:tcPr>
            <w:tcW w:type="dxa" w:w="271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Precursor premise weaker in target estate</w:t>
            </w:r>
          </w:p>
        </w:tc>
        <w:tc>
          <w:tcPr>
            <w:tcW w:type="dxa" w:w="128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Medium</w:t>
            </w:r>
          </w:p>
        </w:tc>
        <w:tc>
          <w:tcPr>
            <w:tcW w:type="dxa" w:w="249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MTTD target at risk</w:t>
            </w:r>
          </w:p>
        </w:tc>
        <w:tc>
          <w:tcPr>
            <w:tcW w:type="dxa" w:w="3139"/>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Phase 1 back-test; re-baseline targets at Phase 1 gate</w:t>
            </w:r>
          </w:p>
        </w:tc>
      </w:tr>
    </w:tbl>
    <w:p>
      <w:pPr>
        <w:spacing w:after="80"/>
      </w:pPr>
    </w:p>
    <w:p>
      <w:pPr>
        <w:pStyle w:val="Heading1"/>
      </w:pPr>
      <w:r>
        <w:t xml:space="preserve">10. Programme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2"/>
        <w:gridCol w:w="7466"/>
      </w:tblGrid>
      <w:tr>
        <w:trPr>
          <w:cantSplit/>
          <w:tblHeader/>
        </w:trPr>
        <w:tc>
          <w:tcPr>
            <w:tcW w:type="dxa" w:w="2172"/>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466"/>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Criterion</w:t>
            </w:r>
          </w:p>
        </w:tc>
      </w:tr>
      <w:tr>
        <w:trPr>
          <w:cantSplit/>
          <w:tblHeader w:val="false"/>
        </w:trPr>
        <w:tc>
          <w:tcPr>
            <w:tcW w:type="dxa" w:w="2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TS17-AC-001</w:t>
            </w:r>
          </w:p>
        </w:tc>
        <w:tc>
          <w:tcPr>
            <w:tcW w:type="dxa" w:w="7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All component acceptance criteria (TS-01 to TS-16) passed or formally waived with risk acceptance</w:t>
            </w:r>
          </w:p>
        </w:tc>
      </w:tr>
      <w:tr>
        <w:trPr>
          <w:cantSplit/>
          <w:tblHeader w:val="false"/>
        </w:trPr>
        <w:tc>
          <w:tcPr>
            <w:tcW w:type="dxa" w:w="217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TS17-AC-002</w:t>
            </w:r>
          </w:p>
        </w:tc>
        <w:tc>
          <w:tcPr>
            <w:tcW w:type="dxa" w:w="746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Month-12 KPI targets in §6 met for 2 consecutive months, or variances approved by programme board</w:t>
            </w:r>
          </w:p>
        </w:tc>
      </w:tr>
      <w:tr>
        <w:trPr>
          <w:cantSplit/>
          <w:tblHeader w:val="false"/>
        </w:trPr>
        <w:tc>
          <w:tcPr>
            <w:tcW w:type="dxa" w:w="2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TS17-AC-003</w:t>
            </w:r>
          </w:p>
        </w:tc>
        <w:tc>
          <w:tcPr>
            <w:tcW w:type="dxa" w:w="7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All KRIs green for 4 consecutive weeks before declaring full automation</w:t>
            </w:r>
          </w:p>
        </w:tc>
      </w:tr>
      <w:tr>
        <w:trPr>
          <w:cantSplit/>
          <w:tblHeader w:val="false"/>
        </w:trPr>
        <w:tc>
          <w:tcPr>
            <w:tcW w:type="dxa" w:w="2172"/>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TS17-AC-004</w:t>
            </w:r>
          </w:p>
        </w:tc>
        <w:tc>
          <w:tcPr>
            <w:tcW w:type="dxa" w:w="7466"/>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Operational handover: runbooks for the solution itself, on-call rota for platform team, support model and training complete</w:t>
            </w:r>
          </w:p>
        </w:tc>
      </w:tr>
      <w:tr>
        <w:trPr>
          <w:cantSplit/>
          <w:tblHeader w:val="false"/>
        </w:trPr>
        <w:tc>
          <w:tcPr>
            <w:tcW w:type="dxa" w:w="2172"/>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TS17-AC-005</w:t>
            </w:r>
          </w:p>
        </w:tc>
        <w:tc>
          <w:tcPr>
            <w:tcW w:type="dxa" w:w="7466"/>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Governance documentation complete: model cards, risk register, control mapping, retention schedule, agent tool registry with tiers</w:t>
            </w:r>
          </w:p>
        </w:tc>
      </w:tr>
    </w:tbl>
    <w:p>
      <w:pPr>
        <w:spacing w:after="80"/>
      </w:pPr>
    </w:p>
    <w:p>
      <w:pPr>
        <w:pStyle w:val="Heading1"/>
      </w:pPr>
      <w:r>
        <w:t xml:space="preserve">11. Assumptions and Open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8"/>
        <w:gridCol w:w="7720"/>
      </w:tblGrid>
      <w:tr>
        <w:trPr>
          <w:cantSplit/>
          <w:tblHeader/>
        </w:trPr>
        <w:tc>
          <w:tcPr>
            <w:tcW w:type="dxa" w:w="1918"/>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ID</w:t>
            </w:r>
          </w:p>
        </w:tc>
        <w:tc>
          <w:tcPr>
            <w:tcW w:type="dxa" w:w="7720"/>
            <w:tcBorders>
              <w:top w:val="single" w:color="BFC9D4" w:sz="4"/>
              <w:left w:val="single" w:color="BFC9D4" w:sz="4"/>
              <w:bottom w:val="single" w:color="BFC9D4" w:sz="4"/>
              <w:right w:val="single" w:color="BFC9D4" w:sz="4"/>
            </w:tcBorders>
            <w:shd w:fill="1F3A5F" w:color="auto" w:val="clear"/>
            <w:tcMar>
              <w:top w:type="dxa" w:w="60"/>
              <w:left w:type="dxa" w:w="100"/>
              <w:bottom w:type="dxa" w:w="60"/>
              <w:right w:type="dxa" w:w="100"/>
            </w:tcMar>
          </w:tcPr>
          <w:p>
            <w:pPr>
              <w:spacing w:after="0" w:before="0" w:line="252"/>
            </w:pPr>
            <w:r>
              <w:rPr>
                <w:b/>
                <w:bCs/>
                <w:color w:val="FFFFFF"/>
                <w:sz w:val="18"/>
                <w:szCs w:val="18"/>
              </w:rPr>
              <w:t xml:space="preserve">Item</w:t>
            </w:r>
          </w:p>
        </w:tc>
      </w:tr>
      <w:tr>
        <w:trPr>
          <w:cantSplit/>
          <w:tblHeader w:val="false"/>
        </w:trPr>
        <w:tc>
          <w:tcPr>
            <w:tcW w:type="dxa" w:w="191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OI-01</w:t>
            </w:r>
          </w:p>
        </w:tc>
        <w:tc>
          <w:tcPr>
            <w:tcW w:type="dxa" w:w="772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0" w:before="0" w:line="252"/>
            </w:pPr>
            <w:r>
              <w:rPr>
                <w:sz w:val="18"/>
                <w:szCs w:val="18"/>
              </w:rPr>
              <w:t xml:space="preserve">Pilot domain selection drives which "top 5" sources are onboarded first</w:t>
            </w:r>
          </w:p>
        </w:tc>
      </w:tr>
      <w:tr>
        <w:trPr>
          <w:cantSplit/>
          <w:tblHeader w:val="false"/>
        </w:trPr>
        <w:tc>
          <w:tcPr>
            <w:tcW w:type="dxa" w:w="1918"/>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OI-02</w:t>
            </w:r>
          </w:p>
        </w:tc>
        <w:tc>
          <w:tcPr>
            <w:tcW w:type="dxa" w:w="7720"/>
            <w:tcBorders>
              <w:top w:val="single" w:color="BFC9D4" w:sz="4"/>
              <w:left w:val="single" w:color="BFC9D4" w:sz="4"/>
              <w:bottom w:val="single" w:color="BFC9D4" w:sz="4"/>
              <w:right w:val="single" w:color="BFC9D4" w:sz="4"/>
            </w:tcBorders>
            <w:shd w:fill="F7F9FC" w:color="auto" w:val="clear"/>
            <w:tcMar>
              <w:top w:type="dxa" w:w="60"/>
              <w:left w:type="dxa" w:w="100"/>
              <w:bottom w:type="dxa" w:w="60"/>
              <w:right w:type="dxa" w:w="100"/>
            </w:tcMar>
          </w:tcPr>
          <w:p>
            <w:pPr>
              <w:spacing w:after="0" w:before="0" w:line="252"/>
            </w:pPr>
            <w:r>
              <w:rPr>
                <w:sz w:val="18"/>
                <w:szCs w:val="18"/>
              </w:rPr>
              <w:t xml:space="preserve">Targets are white-paper defaults; re-baseline at Phase 1 gate using measured data</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Sakul Gupta · Confidential</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4" w:sz="4" w:space="4"/>
      </w:pBdr>
      <w:tabs>
        <w:tab w:val="right" w:pos="9638"/>
      </w:tabs>
    </w:pPr>
    <w:r>
      <w:rPr>
        <w:color w:val="595959"/>
        <w:sz w:val="16"/>
        <w:szCs w:val="16"/>
      </w:rPr>
      <w:t xml:space="preserve">TS-17 · Delivery Roadmap, KPIs, KRIs and Acceptance</w:t>
    </w:r>
    <w:r>
      <w:rPr>
        <w:color w:val="595959"/>
        <w:sz w:val="16"/>
        <w:szCs w:val="16"/>
      </w:rPr>
      <w:t xml:space="preserve">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333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TS-17 Delivery Roadmap, KPIs, KRIs and Acceptance</dc:title>
  <dc:creator>Sakul Gupta</dc:creator>
  <cp:lastModifiedBy>Un-named</cp:lastModifiedBy>
  <cp:revision>1</cp:revision>
  <dcterms:created xsi:type="dcterms:W3CDTF">2026-10-14T09:35:31.402Z</dcterms:created>
  <dcterms:modified xsi:type="dcterms:W3CDTF">2026-10-14T09:35:31.402Z</dcterms:modified>
</cp:coreProperties>
</file>

<file path=docProps/custom.xml><?xml version="1.0" encoding="utf-8"?>
<Properties xmlns="http://schemas.openxmlformats.org/officeDocument/2006/custom-properties" xmlns:vt="http://schemas.openxmlformats.org/officeDocument/2006/docPropsVTypes"/>
</file>