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800"/>
      </w:pPr>
      <w:r>
        <w:rPr>
          <w:b/>
          <w:bCs/>
          <w:color w:val="2E75B6"/>
          <w:spacing w:val="40"/>
          <w:sz w:val="22"/>
          <w:szCs w:val="22"/>
        </w:rPr>
        <w:t xml:space="preserve">TECHNICAL SPECIFICATION</w:t>
      </w:r>
    </w:p>
    <w:p>
      <w:pPr>
        <w:spacing w:after="80"/>
      </w:pPr>
      <w:r>
        <w:rPr>
          <w:b/>
          <w:bCs/>
          <w:color w:val="595959"/>
          <w:sz w:val="32"/>
          <w:szCs w:val="32"/>
        </w:rPr>
        <w:t xml:space="preserve">TS-00</w:t>
      </w:r>
    </w:p>
    <w:p>
      <w:pPr>
        <w:spacing w:after="240"/>
      </w:pPr>
      <w:r>
        <w:rPr>
          <w:b/>
          <w:bCs/>
          <w:color w:val="1F3A5F"/>
          <w:sz w:val="48"/>
          <w:szCs w:val="48"/>
        </w:rPr>
        <w:t xml:space="preserve">Specification Set Index and Conventions</w:t>
      </w:r>
    </w:p>
    <w:p>
      <w:pPr>
        <w:pBdr>
          <w:bottom w:val="single" w:color="2E75B6" w:sz="12" w:space="4"/>
        </w:pBdr>
        <w:spacing w:after="240"/>
      </w:pPr>
    </w:p>
    <w:p>
      <w:pPr>
        <w:spacing w:after="360"/>
      </w:pPr>
      <w:r>
        <w:rPr>
          <w:i/>
          <w:iCs/>
          <w:color w:val="595959"/>
          <w:sz w:val="22"/>
          <w:szCs w:val="22"/>
        </w:rPr>
        <w:t xml:space="preserve">Map of the 17 component specifications derived from the white paper, the conventions every specification follows, and the shared identifiers, units and terms they rely on.</w:t>
      </w:r>
    </w:p>
    <w:p>
      <w:pPr>
        <w:spacing w:after="120"/>
      </w:pPr>
      <w:r>
        <w:rPr>
          <w:b/>
          <w:bCs/>
          <w:color w:val="1F3A5F"/>
          <w:sz w:val="20"/>
          <w:szCs w:val="20"/>
        </w:rPr>
        <w:t xml:space="preserve">Proactive Infrastructure Disruption Detection &amp; Automated Incident Response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87"/>
        <w:gridCol w:w="6151"/>
      </w:tblGrid>
      <w:tr>
        <w:trPr>
          <w:cantSplit/>
          <w:tblHeader/>
        </w:trPr>
        <w:tc>
          <w:tcPr>
            <w:tcW w:type="dxa" w:w="3487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6151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rPr>
          <w:cantSplit/>
          <w:tblHeader w:val="false"/>
        </w:trPr>
        <w:tc>
          <w:tcPr>
            <w:tcW w:type="dxa" w:w="3487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Specification ID</w:t>
            </w:r>
          </w:p>
        </w:tc>
        <w:tc>
          <w:tcPr>
            <w:tcW w:type="dxa" w:w="6151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TS-00</w:t>
            </w:r>
          </w:p>
        </w:tc>
      </w:tr>
      <w:tr>
        <w:trPr>
          <w:cantSplit/>
          <w:tblHeader w:val="false"/>
        </w:trPr>
        <w:tc>
          <w:tcPr>
            <w:tcW w:type="dxa" w:w="3487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Version / Status</w:t>
            </w:r>
          </w:p>
        </w:tc>
        <w:tc>
          <w:tcPr>
            <w:tcW w:type="dxa" w:w="6151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1.0 / Draft for architecture review</w:t>
            </w:r>
          </w:p>
        </w:tc>
      </w:tr>
      <w:tr>
        <w:trPr>
          <w:cantSplit/>
          <w:tblHeader w:val="false"/>
        </w:trPr>
        <w:tc>
          <w:tcPr>
            <w:tcW w:type="dxa" w:w="3487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Date</w:t>
            </w:r>
          </w:p>
        </w:tc>
        <w:tc>
          <w:tcPr>
            <w:tcW w:type="dxa" w:w="6151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14 October 2026</w:t>
            </w:r>
          </w:p>
        </w:tc>
      </w:tr>
      <w:tr>
        <w:trPr>
          <w:cantSplit/>
          <w:tblHeader w:val="false"/>
        </w:trPr>
        <w:tc>
          <w:tcPr>
            <w:tcW w:type="dxa" w:w="3487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Author</w:t>
            </w:r>
          </w:p>
        </w:tc>
        <w:tc>
          <w:tcPr>
            <w:tcW w:type="dxa" w:w="6151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Sakul Gupta</w:t>
            </w:r>
          </w:p>
        </w:tc>
      </w:tr>
      <w:tr>
        <w:trPr>
          <w:cantSplit/>
          <w:tblHeader w:val="false"/>
        </w:trPr>
        <w:tc>
          <w:tcPr>
            <w:tcW w:type="dxa" w:w="3487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Source white paper sections</w:t>
            </w:r>
          </w:p>
        </w:tc>
        <w:tc>
          <w:tcPr>
            <w:tcW w:type="dxa" w:w="6151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All sections (PS, 01–12, TD-01–TD-05, 13A–13C, 14–14E)</w:t>
            </w:r>
          </w:p>
        </w:tc>
      </w:tr>
      <w:tr>
        <w:trPr>
          <w:cantSplit/>
          <w:tblHeader w:val="false"/>
        </w:trPr>
        <w:tc>
          <w:tcPr>
            <w:tcW w:type="dxa" w:w="3487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Depends on</w:t>
            </w:r>
          </w:p>
        </w:tc>
        <w:tc>
          <w:tcPr>
            <w:tcW w:type="dxa" w:w="6151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  <w:tblHeader w:val="false"/>
        </w:trPr>
        <w:tc>
          <w:tcPr>
            <w:tcW w:type="dxa" w:w="3487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Deployment context</w:t>
            </w:r>
          </w:p>
        </w:tc>
        <w:tc>
          <w:tcPr>
            <w:tcW w:type="dxa" w:w="6151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Industry-neutral; regulated-industry controls exposed as configuration</w:t>
            </w:r>
          </w:p>
        </w:tc>
      </w:tr>
      <w:tr>
        <w:trPr>
          <w:cantSplit/>
          <w:tblHeader w:val="false"/>
        </w:trPr>
        <w:tc>
          <w:tcPr>
            <w:tcW w:type="dxa" w:w="3487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Document structure</w:t>
            </w:r>
          </w:p>
        </w:tc>
        <w:tc>
          <w:tcPr>
            <w:tcW w:type="dxa" w:w="6151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Part A — Design-level specification · Part B — Low-level (build-ready) specification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Contents</w:t>
      </w:r>
    </w:p>
    <w:p>
      <w:pPr>
        <w:spacing w:after="20" w:before="60"/>
      </w:pPr>
      <w:r>
        <w:rPr>
          <w:b w:val="false"/>
          <w:bCs w:val="false"/>
          <w:color w:val="1F2937"/>
          <w:sz w:val="19"/>
          <w:szCs w:val="19"/>
        </w:rPr>
        <w:t xml:space="preserve">1. Purpose</w:t>
      </w:r>
    </w:p>
    <w:p>
      <w:pPr>
        <w:spacing w:after="20" w:before="60"/>
      </w:pPr>
      <w:r>
        <w:rPr>
          <w:b w:val="false"/>
          <w:bCs w:val="false"/>
          <w:color w:val="1F2937"/>
          <w:sz w:val="19"/>
          <w:szCs w:val="19"/>
        </w:rPr>
        <w:t xml:space="preserve">2. Specification Map</w:t>
      </w:r>
    </w:p>
    <w:p>
      <w:pPr>
        <w:spacing w:after="20" w:before="60"/>
      </w:pPr>
      <w:r>
        <w:rPr>
          <w:b w:val="false"/>
          <w:bCs w:val="false"/>
          <w:color w:val="1F2937"/>
          <w:sz w:val="19"/>
          <w:szCs w:val="19"/>
        </w:rPr>
        <w:t xml:space="preserve">3. White Paper Section Traceability</w:t>
      </w:r>
    </w:p>
    <w:p>
      <w:pPr>
        <w:spacing w:after="20" w:before="60"/>
      </w:pPr>
      <w:r>
        <w:rPr>
          <w:b w:val="false"/>
          <w:bCs w:val="false"/>
          <w:color w:val="1F2937"/>
          <w:sz w:val="19"/>
          <w:szCs w:val="19"/>
        </w:rPr>
        <w:t xml:space="preserve">4. Document Template</w:t>
      </w:r>
    </w:p>
    <w:p>
      <w:pPr>
        <w:spacing w:after="20" w:before="60"/>
      </w:pPr>
      <w:r>
        <w:rPr>
          <w:b w:val="false"/>
          <w:bCs w:val="false"/>
          <w:color w:val="1F2937"/>
          <w:sz w:val="19"/>
          <w:szCs w:val="19"/>
        </w:rPr>
        <w:t xml:space="preserve">5. Conventions</w:t>
      </w:r>
    </w:p>
    <w:p>
      <w:pPr>
        <w:spacing w:after="10"/>
        <w:ind w:left="360"/>
      </w:pPr>
      <w:r>
        <w:rPr>
          <w:color w:val="595959"/>
          <w:sz w:val="17"/>
          <w:szCs w:val="17"/>
        </w:rPr>
        <w:t xml:space="preserve">5.1 Requirement identifiers</w:t>
      </w:r>
    </w:p>
    <w:p>
      <w:pPr>
        <w:spacing w:after="10"/>
        <w:ind w:left="360"/>
      </w:pPr>
      <w:r>
        <w:rPr>
          <w:color w:val="595959"/>
          <w:sz w:val="17"/>
          <w:szCs w:val="17"/>
        </w:rPr>
        <w:t xml:space="preserve">5.2 Units and formats</w:t>
      </w:r>
    </w:p>
    <w:p>
      <w:pPr>
        <w:spacing w:after="10"/>
        <w:ind w:left="360"/>
      </w:pPr>
      <w:r>
        <w:rPr>
          <w:color w:val="595959"/>
          <w:sz w:val="17"/>
          <w:szCs w:val="17"/>
        </w:rPr>
        <w:t xml:space="preserve">5.3 Shared identifiers</w:t>
      </w:r>
    </w:p>
    <w:p>
      <w:pPr>
        <w:spacing w:after="10"/>
        <w:ind w:left="360"/>
      </w:pPr>
      <w:r>
        <w:rPr>
          <w:color w:val="595959"/>
          <w:sz w:val="17"/>
          <w:szCs w:val="17"/>
        </w:rPr>
        <w:t xml:space="preserve">5.4 Severity and tier vocabularies</w:t>
      </w:r>
    </w:p>
    <w:p>
      <w:pPr>
        <w:spacing w:after="20" w:before="60"/>
      </w:pPr>
      <w:r>
        <w:rPr>
          <w:b w:val="false"/>
          <w:bCs w:val="false"/>
          <w:color w:val="1F2937"/>
          <w:sz w:val="19"/>
          <w:szCs w:val="19"/>
        </w:rPr>
        <w:t xml:space="preserve">6. Glossary</w:t>
      </w:r>
    </w:p>
    <w:p>
      <w:pPr>
        <w:spacing w:after="20" w:before="60"/>
      </w:pPr>
      <w:r>
        <w:rPr>
          <w:b w:val="false"/>
          <w:bCs w:val="false"/>
          <w:color w:val="1F2937"/>
          <w:sz w:val="19"/>
          <w:szCs w:val="19"/>
        </w:rPr>
        <w:t xml:space="preserve">7. Change Control for this Specification Set</w:t>
      </w:r>
    </w:p>
    <w:p>
      <w:r>
        <w:br w:type="page"/>
      </w:r>
    </w:p>
    <w:p>
      <w:pPr>
        <w:pStyle w:val="Heading1"/>
      </w:pPr>
      <w:r>
        <w:t xml:space="preserve">1. Purpose</w:t>
      </w:r>
    </w:p>
    <w:p>
      <w:pPr>
        <w:spacing w:after="120"/>
      </w:pPr>
      <w:r>
        <w:t xml:space="preserve">This index governs a set of 17 component technical specifications (TS-01 to TS-17) that decompose the white paper "Proactive Infrastructure Disruption Detection &amp; Automated Incident Response" into buildable units. The white paper describes what the solution does and why; the specifications describe how each component is built, configured, integrated, operated and accepted.</w:t>
      </w:r>
    </w:p>
    <w:p>
      <w:pPr>
        <w:spacing w:after="120"/>
      </w:pPr>
      <w:r>
        <w:t xml:space="preserve">Overlapping white paper sections have been merged by system component, so that each component has exactly one authoritative specification. Where a white paper section contributes to more than one component, the split is shown in Section 3.</w:t>
      </w:r>
    </w:p>
    <w:p>
      <w:pPr>
        <w:pStyle w:val="Heading1"/>
      </w:pPr>
      <w:r>
        <w:t xml:space="preserve">2. Specification Map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1"/>
        <w:gridCol w:w="3840"/>
        <w:gridCol w:w="2082"/>
        <w:gridCol w:w="2675"/>
      </w:tblGrid>
      <w:tr>
        <w:trPr>
          <w:cantSplit/>
          <w:tblHeader/>
        </w:trPr>
        <w:tc>
          <w:tcPr>
            <w:tcW w:type="dxa" w:w="1041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384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Specification</w:t>
            </w:r>
          </w:p>
        </w:tc>
        <w:tc>
          <w:tcPr>
            <w:tcW w:type="dxa" w:w="2082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Layer / Plane</w:t>
            </w:r>
          </w:p>
        </w:tc>
        <w:tc>
          <w:tcPr>
            <w:tcW w:type="dxa" w:w="2675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Primary owner (role)</w:t>
            </w:r>
          </w:p>
        </w:tc>
      </w:tr>
      <w:tr>
        <w:trPr>
          <w:cantSplit/>
          <w:tblHeader w:val="false"/>
        </w:trPr>
        <w:tc>
          <w:tcPr>
            <w:tcW w:type="dxa" w:w="1041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TS-01</w:t>
            </w:r>
          </w:p>
        </w:tc>
        <w:tc>
          <w:tcPr>
            <w:tcW w:type="dxa" w:w="384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System Context, Requirements &amp; Reference Architecture</w:t>
            </w:r>
          </w:p>
        </w:tc>
        <w:tc>
          <w:tcPr>
            <w:tcW w:type="dxa" w:w="2082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Cross-cutting</w:t>
            </w:r>
          </w:p>
        </w:tc>
        <w:tc>
          <w:tcPr>
            <w:tcW w:type="dxa" w:w="2675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Chief Architect</w:t>
            </w:r>
          </w:p>
        </w:tc>
      </w:tr>
      <w:tr>
        <w:trPr>
          <w:cantSplit/>
          <w:tblHeader w:val="false"/>
        </w:trPr>
        <w:tc>
          <w:tcPr>
            <w:tcW w:type="dxa" w:w="1041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TS-02</w:t>
            </w:r>
          </w:p>
        </w:tc>
        <w:tc>
          <w:tcPr>
            <w:tcW w:type="dxa" w:w="384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Telemetry Collection &amp; Observability Sources</w:t>
            </w:r>
          </w:p>
        </w:tc>
        <w:tc>
          <w:tcPr>
            <w:tcW w:type="dxa" w:w="2082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L1 Data Collection</w:t>
            </w:r>
          </w:p>
        </w:tc>
        <w:tc>
          <w:tcPr>
            <w:tcW w:type="dxa" w:w="2675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Observability Engineering</w:t>
            </w:r>
          </w:p>
        </w:tc>
      </w:tr>
      <w:tr>
        <w:trPr>
          <w:cantSplit/>
          <w:tblHeader w:val="false"/>
        </w:trPr>
        <w:tc>
          <w:tcPr>
            <w:tcW w:type="dxa" w:w="1041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TS-03</w:t>
            </w:r>
          </w:p>
        </w:tc>
        <w:tc>
          <w:tcPr>
            <w:tcW w:type="dxa" w:w="384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Ingestion, Normalisation &amp; Stream Processing</w:t>
            </w:r>
          </w:p>
        </w:tc>
        <w:tc>
          <w:tcPr>
            <w:tcW w:type="dxa" w:w="2082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L2 Ingestion</w:t>
            </w:r>
          </w:p>
        </w:tc>
        <w:tc>
          <w:tcPr>
            <w:tcW w:type="dxa" w:w="2675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Data Platform Engineering</w:t>
            </w:r>
          </w:p>
        </w:tc>
      </w:tr>
      <w:tr>
        <w:trPr>
          <w:cantSplit/>
          <w:tblHeader w:val="false"/>
        </w:trPr>
        <w:tc>
          <w:tcPr>
            <w:tcW w:type="dxa" w:w="1041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TS-04</w:t>
            </w:r>
          </w:p>
        </w:tc>
        <w:tc>
          <w:tcPr>
            <w:tcW w:type="dxa" w:w="384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Feature Engineering &amp; Feature Store</w:t>
            </w:r>
          </w:p>
        </w:tc>
        <w:tc>
          <w:tcPr>
            <w:tcW w:type="dxa" w:w="2082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L2→L3 boundary</w:t>
            </w:r>
          </w:p>
        </w:tc>
        <w:tc>
          <w:tcPr>
            <w:tcW w:type="dxa" w:w="2675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Data Platform / ML Engineering</w:t>
            </w:r>
          </w:p>
        </w:tc>
      </w:tr>
      <w:tr>
        <w:trPr>
          <w:cantSplit/>
          <w:tblHeader w:val="false"/>
        </w:trPr>
        <w:tc>
          <w:tcPr>
            <w:tcW w:type="dxa" w:w="1041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TS-05</w:t>
            </w:r>
          </w:p>
        </w:tc>
        <w:tc>
          <w:tcPr>
            <w:tcW w:type="dxa" w:w="384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ML Ensemble Detection Engine &amp; Score Fusion</w:t>
            </w:r>
          </w:p>
        </w:tc>
        <w:tc>
          <w:tcPr>
            <w:tcW w:type="dxa" w:w="2082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L3 ML Analysis</w:t>
            </w:r>
          </w:p>
        </w:tc>
        <w:tc>
          <w:tcPr>
            <w:tcW w:type="dxa" w:w="2675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ML Engineering</w:t>
            </w:r>
          </w:p>
        </w:tc>
      </w:tr>
      <w:tr>
        <w:trPr>
          <w:cantSplit/>
          <w:tblHeader w:val="false"/>
        </w:trPr>
        <w:tc>
          <w:tcPr>
            <w:tcW w:type="dxa" w:w="1041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TS-06</w:t>
            </w:r>
          </w:p>
        </w:tc>
        <w:tc>
          <w:tcPr>
            <w:tcW w:type="dxa" w:w="384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Behavioural Baselining &amp; Model Lifecycle (MLOps)</w:t>
            </w:r>
          </w:p>
        </w:tc>
        <w:tc>
          <w:tcPr>
            <w:tcW w:type="dxa" w:w="2082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L3 ML Analysis</w:t>
            </w:r>
          </w:p>
        </w:tc>
        <w:tc>
          <w:tcPr>
            <w:tcW w:type="dxa" w:w="2675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ML Engineering / MLOps</w:t>
            </w:r>
          </w:p>
        </w:tc>
      </w:tr>
      <w:tr>
        <w:trPr>
          <w:cantSplit/>
          <w:tblHeader w:val="false"/>
        </w:trPr>
        <w:tc>
          <w:tcPr>
            <w:tcW w:type="dxa" w:w="1041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TS-07</w:t>
            </w:r>
          </w:p>
        </w:tc>
        <w:tc>
          <w:tcPr>
            <w:tcW w:type="dxa" w:w="384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Decision &amp; Classification Engine</w:t>
            </w:r>
          </w:p>
        </w:tc>
        <w:tc>
          <w:tcPr>
            <w:tcW w:type="dxa" w:w="2082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L4 Decision</w:t>
            </w:r>
          </w:p>
        </w:tc>
        <w:tc>
          <w:tcPr>
            <w:tcW w:type="dxa" w:w="2675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SRE Platform</w:t>
            </w:r>
          </w:p>
        </w:tc>
      </w:tr>
      <w:tr>
        <w:trPr>
          <w:cantSplit/>
          <w:tblHeader w:val="false"/>
        </w:trPr>
        <w:tc>
          <w:tcPr>
            <w:tcW w:type="dxa" w:w="1041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TS-08</w:t>
            </w:r>
          </w:p>
        </w:tc>
        <w:tc>
          <w:tcPr>
            <w:tcW w:type="dxa" w:w="384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Incident Management Integration</w:t>
            </w:r>
          </w:p>
        </w:tc>
        <w:tc>
          <w:tcPr>
            <w:tcW w:type="dxa" w:w="2082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L5 Orchestration</w:t>
            </w:r>
          </w:p>
        </w:tc>
        <w:tc>
          <w:tcPr>
            <w:tcW w:type="dxa" w:w="2675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ITSM / SRE Tooling</w:t>
            </w:r>
          </w:p>
        </w:tc>
      </w:tr>
      <w:tr>
        <w:trPr>
          <w:cantSplit/>
          <w:tblHeader w:val="false"/>
        </w:trPr>
        <w:tc>
          <w:tcPr>
            <w:tcW w:type="dxa" w:w="1041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TS-09</w:t>
            </w:r>
          </w:p>
        </w:tc>
        <w:tc>
          <w:tcPr>
            <w:tcW w:type="dxa" w:w="384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Deployment Architecture, HA/DR &amp; Platform Security</w:t>
            </w:r>
          </w:p>
        </w:tc>
        <w:tc>
          <w:tcPr>
            <w:tcW w:type="dxa" w:w="2082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Infrastructure plane</w:t>
            </w:r>
          </w:p>
        </w:tc>
        <w:tc>
          <w:tcPr>
            <w:tcW w:type="dxa" w:w="2675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Platform Engineering / Security</w:t>
            </w:r>
          </w:p>
        </w:tc>
      </w:tr>
      <w:tr>
        <w:trPr>
          <w:cantSplit/>
          <w:tblHeader w:val="false"/>
        </w:trPr>
        <w:tc>
          <w:tcPr>
            <w:tcW w:type="dxa" w:w="1041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TS-10</w:t>
            </w:r>
          </w:p>
        </w:tc>
        <w:tc>
          <w:tcPr>
            <w:tcW w:type="dxa" w:w="384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Governance, Risk &amp; Compliance</w:t>
            </w:r>
          </w:p>
        </w:tc>
        <w:tc>
          <w:tcPr>
            <w:tcW w:type="dxa" w:w="2082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Control plane</w:t>
            </w:r>
          </w:p>
        </w:tc>
        <w:tc>
          <w:tcPr>
            <w:tcW w:type="dxa" w:w="2675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Risk &amp; Compliance / ML Governance</w:t>
            </w:r>
          </w:p>
        </w:tc>
      </w:tr>
      <w:tr>
        <w:trPr>
          <w:cantSplit/>
          <w:tblHeader w:val="false"/>
        </w:trPr>
        <w:tc>
          <w:tcPr>
            <w:tcW w:type="dxa" w:w="1041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TS-11</w:t>
            </w:r>
          </w:p>
        </w:tc>
        <w:tc>
          <w:tcPr>
            <w:tcW w:type="dxa" w:w="384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Autonomous Self-Management &amp; Self-Correction</w:t>
            </w:r>
          </w:p>
        </w:tc>
        <w:tc>
          <w:tcPr>
            <w:tcW w:type="dxa" w:w="2082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Control plane</w:t>
            </w:r>
          </w:p>
        </w:tc>
        <w:tc>
          <w:tcPr>
            <w:tcW w:type="dxa" w:w="2675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SRE Platform / MLOps</w:t>
            </w:r>
          </w:p>
        </w:tc>
      </w:tr>
      <w:tr>
        <w:trPr>
          <w:cantSplit/>
          <w:tblHeader w:val="false"/>
        </w:trPr>
        <w:tc>
          <w:tcPr>
            <w:tcW w:type="dxa" w:w="1041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TS-12</w:t>
            </w:r>
          </w:p>
        </w:tc>
        <w:tc>
          <w:tcPr>
            <w:tcW w:type="dxa" w:w="384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Scalability &amp; Elastic Capacity Management</w:t>
            </w:r>
          </w:p>
        </w:tc>
        <w:tc>
          <w:tcPr>
            <w:tcW w:type="dxa" w:w="2082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Infrastructure plane</w:t>
            </w:r>
          </w:p>
        </w:tc>
        <w:tc>
          <w:tcPr>
            <w:tcW w:type="dxa" w:w="2675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Platform Engineering</w:t>
            </w:r>
          </w:p>
        </w:tc>
      </w:tr>
      <w:tr>
        <w:trPr>
          <w:cantSplit/>
          <w:tblHeader w:val="false"/>
        </w:trPr>
        <w:tc>
          <w:tcPr>
            <w:tcW w:type="dxa" w:w="1041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TS-13</w:t>
            </w:r>
          </w:p>
        </w:tc>
        <w:tc>
          <w:tcPr>
            <w:tcW w:type="dxa" w:w="384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GenAI Layer — LLM Gateway, RAG &amp; Prompting</w:t>
            </w:r>
          </w:p>
        </w:tc>
        <w:tc>
          <w:tcPr>
            <w:tcW w:type="dxa" w:w="2082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Intelligence plane</w:t>
            </w:r>
          </w:p>
        </w:tc>
        <w:tc>
          <w:tcPr>
            <w:tcW w:type="dxa" w:w="2675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AI Engineering</w:t>
            </w:r>
          </w:p>
        </w:tc>
      </w:tr>
      <w:tr>
        <w:trPr>
          <w:cantSplit/>
          <w:tblHeader w:val="false"/>
        </w:trPr>
        <w:tc>
          <w:tcPr>
            <w:tcW w:type="dxa" w:w="1041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TS-14</w:t>
            </w:r>
          </w:p>
        </w:tc>
        <w:tc>
          <w:tcPr>
            <w:tcW w:type="dxa" w:w="384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Agent Runtime &amp; Multi-Agent Orchestration</w:t>
            </w:r>
          </w:p>
        </w:tc>
        <w:tc>
          <w:tcPr>
            <w:tcW w:type="dxa" w:w="2082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Intelligence plane</w:t>
            </w:r>
          </w:p>
        </w:tc>
        <w:tc>
          <w:tcPr>
            <w:tcW w:type="dxa" w:w="2675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AI Engineering</w:t>
            </w:r>
          </w:p>
        </w:tc>
      </w:tr>
      <w:tr>
        <w:trPr>
          <w:cantSplit/>
          <w:tblHeader w:val="false"/>
        </w:trPr>
        <w:tc>
          <w:tcPr>
            <w:tcW w:type="dxa" w:w="1041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TS-15</w:t>
            </w:r>
          </w:p>
        </w:tc>
        <w:tc>
          <w:tcPr>
            <w:tcW w:type="dxa" w:w="384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Specialist Agents (Triage, Diagnostic, Comms, Remediation, Learning)</w:t>
            </w:r>
          </w:p>
        </w:tc>
        <w:tc>
          <w:tcPr>
            <w:tcW w:type="dxa" w:w="2082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Intelligence plane</w:t>
            </w:r>
          </w:p>
        </w:tc>
        <w:tc>
          <w:tcPr>
            <w:tcW w:type="dxa" w:w="2675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AI Engineering / SRE</w:t>
            </w:r>
          </w:p>
        </w:tc>
      </w:tr>
      <w:tr>
        <w:trPr>
          <w:cantSplit/>
          <w:tblHeader w:val="false"/>
        </w:trPr>
        <w:tc>
          <w:tcPr>
            <w:tcW w:type="dxa" w:w="1041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TS-16</w:t>
            </w:r>
          </w:p>
        </w:tc>
        <w:tc>
          <w:tcPr>
            <w:tcW w:type="dxa" w:w="384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Agent Safety, Trust &amp; Governance</w:t>
            </w:r>
          </w:p>
        </w:tc>
        <w:tc>
          <w:tcPr>
            <w:tcW w:type="dxa" w:w="2082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Control plane</w:t>
            </w:r>
          </w:p>
        </w:tc>
        <w:tc>
          <w:tcPr>
            <w:tcW w:type="dxa" w:w="2675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AI Governance / Security</w:t>
            </w:r>
          </w:p>
        </w:tc>
      </w:tr>
      <w:tr>
        <w:trPr>
          <w:cantSplit/>
          <w:tblHeader w:val="false"/>
        </w:trPr>
        <w:tc>
          <w:tcPr>
            <w:tcW w:type="dxa" w:w="1041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TS-17</w:t>
            </w:r>
          </w:p>
        </w:tc>
        <w:tc>
          <w:tcPr>
            <w:tcW w:type="dxa" w:w="384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Delivery Roadmap, KPIs, KRIs &amp; Acceptance</w:t>
            </w:r>
          </w:p>
        </w:tc>
        <w:tc>
          <w:tcPr>
            <w:tcW w:type="dxa" w:w="2082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Programme</w:t>
            </w:r>
          </w:p>
        </w:tc>
        <w:tc>
          <w:tcPr>
            <w:tcW w:type="dxa" w:w="2675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Programme Director</w:t>
            </w:r>
          </w:p>
        </w:tc>
      </w:tr>
    </w:tbl>
    <w:p>
      <w:pPr>
        <w:spacing w:after="80"/>
      </w:pPr>
    </w:p>
    <w:p>
      <w:pPr>
        <w:pStyle w:val="Heading1"/>
      </w:pPr>
      <w:r>
        <w:t xml:space="preserve">3. White Paper Section Traceability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14"/>
        <w:gridCol w:w="5024"/>
      </w:tblGrid>
      <w:tr>
        <w:trPr>
          <w:cantSplit/>
          <w:tblHeader/>
        </w:trPr>
        <w:tc>
          <w:tcPr>
            <w:tcW w:type="dxa" w:w="4614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White paper section</w:t>
            </w:r>
          </w:p>
        </w:tc>
        <w:tc>
          <w:tcPr>
            <w:tcW w:type="dxa" w:w="5024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Covered by</w:t>
            </w:r>
          </w:p>
        </w:tc>
      </w:tr>
      <w:tr>
        <w:trPr>
          <w:cantSplit/>
          <w:tblHeader w:val="false"/>
        </w:trPr>
        <w:tc>
          <w:tcPr>
            <w:tcW w:type="dxa" w:w="4614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PS Problem Statement</w:t>
            </w:r>
          </w:p>
        </w:tc>
        <w:tc>
          <w:tcPr>
            <w:tcW w:type="dxa" w:w="5024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TS-01 §2–3</w:t>
            </w:r>
          </w:p>
        </w:tc>
      </w:tr>
      <w:tr>
        <w:trPr>
          <w:cantSplit/>
          <w:tblHeader w:val="false"/>
        </w:trPr>
        <w:tc>
          <w:tcPr>
            <w:tcW w:type="dxa" w:w="4614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01 Introduction</w:t>
            </w:r>
          </w:p>
        </w:tc>
        <w:tc>
          <w:tcPr>
            <w:tcW w:type="dxa" w:w="5024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TS-01 §2–3</w:t>
            </w:r>
          </w:p>
        </w:tc>
      </w:tr>
      <w:tr>
        <w:trPr>
          <w:cantSplit/>
          <w:tblHeader w:val="false"/>
        </w:trPr>
        <w:tc>
          <w:tcPr>
            <w:tcW w:type="dxa" w:w="4614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02 Solution Architecture Overview</w:t>
            </w:r>
          </w:p>
        </w:tc>
        <w:tc>
          <w:tcPr>
            <w:tcW w:type="dxa" w:w="5024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TS-01 §4–6</w:t>
            </w:r>
          </w:p>
        </w:tc>
      </w:tr>
      <w:tr>
        <w:trPr>
          <w:cantSplit/>
          <w:tblHeader w:val="false"/>
        </w:trPr>
        <w:tc>
          <w:tcPr>
            <w:tcW w:type="dxa" w:w="4614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03 Observability Data Sources</w:t>
            </w:r>
          </w:p>
        </w:tc>
        <w:tc>
          <w:tcPr>
            <w:tcW w:type="dxa" w:w="5024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TS-02</w:t>
            </w:r>
          </w:p>
        </w:tc>
      </w:tr>
      <w:tr>
        <w:trPr>
          <w:cantSplit/>
          <w:tblHeader w:val="false"/>
        </w:trPr>
        <w:tc>
          <w:tcPr>
            <w:tcW w:type="dxa" w:w="4614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04 Ingestion &amp; Normalisation Pipeline</w:t>
            </w:r>
          </w:p>
        </w:tc>
        <w:tc>
          <w:tcPr>
            <w:tcW w:type="dxa" w:w="5024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TS-03 (stages 1–2), TS-04 (stages 3–4)</w:t>
            </w:r>
          </w:p>
        </w:tc>
      </w:tr>
      <w:tr>
        <w:trPr>
          <w:cantSplit/>
          <w:tblHeader w:val="false"/>
        </w:trPr>
        <w:tc>
          <w:tcPr>
            <w:tcW w:type="dxa" w:w="4614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05 Custom ML Pattern Recognition Engine</w:t>
            </w:r>
          </w:p>
        </w:tc>
        <w:tc>
          <w:tcPr>
            <w:tcW w:type="dxa" w:w="5024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TS-05 (models), TS-06 (baselines, governance)</w:t>
            </w:r>
          </w:p>
        </w:tc>
      </w:tr>
      <w:tr>
        <w:trPr>
          <w:cantSplit/>
          <w:tblHeader w:val="false"/>
        </w:trPr>
        <w:tc>
          <w:tcPr>
            <w:tcW w:type="dxa" w:w="4614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06 Decision &amp; Classification Engine</w:t>
            </w:r>
          </w:p>
        </w:tc>
        <w:tc>
          <w:tcPr>
            <w:tcW w:type="dxa" w:w="5024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TS-07</w:t>
            </w:r>
          </w:p>
        </w:tc>
      </w:tr>
      <w:tr>
        <w:trPr>
          <w:cantSplit/>
          <w:tblHeader w:val="false"/>
        </w:trPr>
        <w:tc>
          <w:tcPr>
            <w:tcW w:type="dxa" w:w="4614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07 Incident Management Integration</w:t>
            </w:r>
          </w:p>
        </w:tc>
        <w:tc>
          <w:tcPr>
            <w:tcW w:type="dxa" w:w="5024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TS-08</w:t>
            </w:r>
          </w:p>
        </w:tc>
      </w:tr>
      <w:tr>
        <w:trPr>
          <w:cantSplit/>
          <w:tblHeader w:val="false"/>
        </w:trPr>
        <w:tc>
          <w:tcPr>
            <w:tcW w:type="dxa" w:w="4614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08 Deployment Architecture &amp; Infrastructure</w:t>
            </w:r>
          </w:p>
        </w:tc>
        <w:tc>
          <w:tcPr>
            <w:tcW w:type="dxa" w:w="5024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TS-09</w:t>
            </w:r>
          </w:p>
        </w:tc>
      </w:tr>
      <w:tr>
        <w:trPr>
          <w:cantSplit/>
          <w:tblHeader w:val="false"/>
        </w:trPr>
        <w:tc>
          <w:tcPr>
            <w:tcW w:type="dxa" w:w="4614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09 Governance, Risk &amp; Compliance</w:t>
            </w:r>
          </w:p>
        </w:tc>
        <w:tc>
          <w:tcPr>
            <w:tcW w:type="dxa" w:w="5024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TS-10</w:t>
            </w:r>
          </w:p>
        </w:tc>
      </w:tr>
      <w:tr>
        <w:trPr>
          <w:cantSplit/>
          <w:tblHeader w:val="false"/>
        </w:trPr>
        <w:tc>
          <w:tcPr>
            <w:tcW w:type="dxa" w:w="4614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10 Implementation Roadmap</w:t>
            </w:r>
          </w:p>
        </w:tc>
        <w:tc>
          <w:tcPr>
            <w:tcW w:type="dxa" w:w="5024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TS-17</w:t>
            </w:r>
          </w:p>
        </w:tc>
      </w:tr>
      <w:tr>
        <w:trPr>
          <w:cantSplit/>
          <w:tblHeader w:val="false"/>
        </w:trPr>
        <w:tc>
          <w:tcPr>
            <w:tcW w:type="dxa" w:w="4614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11 Success Metrics &amp; KPIs (incl. KRIs)</w:t>
            </w:r>
          </w:p>
        </w:tc>
        <w:tc>
          <w:tcPr>
            <w:tcW w:type="dxa" w:w="5024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TS-17; KRIs instrumented in TS-11</w:t>
            </w:r>
          </w:p>
        </w:tc>
      </w:tr>
      <w:tr>
        <w:trPr>
          <w:cantSplit/>
          <w:tblHeader w:val="false"/>
        </w:trPr>
        <w:tc>
          <w:tcPr>
            <w:tcW w:type="dxa" w:w="4614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12 Conclusion &amp; Next Steps</w:t>
            </w:r>
          </w:p>
        </w:tc>
        <w:tc>
          <w:tcPr>
            <w:tcW w:type="dxa" w:w="5024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TS-17 §Readiness</w:t>
            </w:r>
          </w:p>
        </w:tc>
      </w:tr>
      <w:tr>
        <w:trPr>
          <w:cantSplit/>
          <w:tblHeader w:val="false"/>
        </w:trPr>
        <w:tc>
          <w:tcPr>
            <w:tcW w:type="dxa" w:w="4614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TD-01 Pipeline Flow</w:t>
            </w:r>
          </w:p>
        </w:tc>
        <w:tc>
          <w:tcPr>
            <w:tcW w:type="dxa" w:w="5024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TS-03</w:t>
            </w:r>
          </w:p>
        </w:tc>
      </w:tr>
      <w:tr>
        <w:trPr>
          <w:cantSplit/>
          <w:tblHeader w:val="false"/>
        </w:trPr>
        <w:tc>
          <w:tcPr>
            <w:tcW w:type="dxa" w:w="4614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TD-02 Sequential Stages</w:t>
            </w:r>
          </w:p>
        </w:tc>
        <w:tc>
          <w:tcPr>
            <w:tcW w:type="dxa" w:w="5024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TS-03 (1–2), TS-04 (3–4)</w:t>
            </w:r>
          </w:p>
        </w:tc>
      </w:tr>
      <w:tr>
        <w:trPr>
          <w:cantSplit/>
          <w:tblHeader w:val="false"/>
        </w:trPr>
        <w:tc>
          <w:tcPr>
            <w:tcW w:type="dxa" w:w="4614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TD-03 Ensemble Model Architecture</w:t>
            </w:r>
          </w:p>
        </w:tc>
        <w:tc>
          <w:tcPr>
            <w:tcW w:type="dxa" w:w="5024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TS-05</w:t>
            </w:r>
          </w:p>
        </w:tc>
      </w:tr>
      <w:tr>
        <w:trPr>
          <w:cantSplit/>
          <w:tblHeader w:val="false"/>
        </w:trPr>
        <w:tc>
          <w:tcPr>
            <w:tcW w:type="dxa" w:w="4614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TD-04 Complementary Models</w:t>
            </w:r>
          </w:p>
        </w:tc>
        <w:tc>
          <w:tcPr>
            <w:tcW w:type="dxa" w:w="5024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TS-05</w:t>
            </w:r>
          </w:p>
        </w:tc>
      </w:tr>
      <w:tr>
        <w:trPr>
          <w:cantSplit/>
          <w:tblHeader w:val="false"/>
        </w:trPr>
        <w:tc>
          <w:tcPr>
            <w:tcW w:type="dxa" w:w="4614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TD-05 Baseline Strategy</w:t>
            </w:r>
          </w:p>
        </w:tc>
        <w:tc>
          <w:tcPr>
            <w:tcW w:type="dxa" w:w="5024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TS-06</w:t>
            </w:r>
          </w:p>
        </w:tc>
      </w:tr>
      <w:tr>
        <w:trPr>
          <w:cantSplit/>
          <w:tblHeader w:val="false"/>
        </w:trPr>
        <w:tc>
          <w:tcPr>
            <w:tcW w:type="dxa" w:w="4614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13A Auto Self-Management</w:t>
            </w:r>
          </w:p>
        </w:tc>
        <w:tc>
          <w:tcPr>
            <w:tcW w:type="dxa" w:w="5024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TS-11 (GitOps, model lifecycle hooks in TS-06)</w:t>
            </w:r>
          </w:p>
        </w:tc>
      </w:tr>
      <w:tr>
        <w:trPr>
          <w:cantSplit/>
          <w:tblHeader w:val="false"/>
        </w:trPr>
        <w:tc>
          <w:tcPr>
            <w:tcW w:type="dxa" w:w="4614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13B Auto Self-Correction</w:t>
            </w:r>
          </w:p>
        </w:tc>
        <w:tc>
          <w:tcPr>
            <w:tcW w:type="dxa" w:w="5024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TS-11</w:t>
            </w:r>
          </w:p>
        </w:tc>
      </w:tr>
      <w:tr>
        <w:trPr>
          <w:cantSplit/>
          <w:tblHeader w:val="false"/>
        </w:trPr>
        <w:tc>
          <w:tcPr>
            <w:tcW w:type="dxa" w:w="4614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13C Scalability &amp; Elastic Capacity</w:t>
            </w:r>
          </w:p>
        </w:tc>
        <w:tc>
          <w:tcPr>
            <w:tcW w:type="dxa" w:w="5024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TS-12; multi-region DR in TS-09</w:t>
            </w:r>
          </w:p>
        </w:tc>
      </w:tr>
      <w:tr>
        <w:trPr>
          <w:cantSplit/>
          <w:tblHeader w:val="false"/>
        </w:trPr>
        <w:tc>
          <w:tcPr>
            <w:tcW w:type="dxa" w:w="4614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14 GenAI &amp; Agentic AI (overview)</w:t>
            </w:r>
          </w:p>
        </w:tc>
        <w:tc>
          <w:tcPr>
            <w:tcW w:type="dxa" w:w="5024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TS-13, TS-14</w:t>
            </w:r>
          </w:p>
        </w:tc>
      </w:tr>
      <w:tr>
        <w:trPr>
          <w:cantSplit/>
          <w:tblHeader w:val="false"/>
        </w:trPr>
        <w:tc>
          <w:tcPr>
            <w:tcW w:type="dxa" w:w="4614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14A GenAI Layer Design</w:t>
            </w:r>
          </w:p>
        </w:tc>
        <w:tc>
          <w:tcPr>
            <w:tcW w:type="dxa" w:w="5024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TS-13</w:t>
            </w:r>
          </w:p>
        </w:tc>
      </w:tr>
      <w:tr>
        <w:trPr>
          <w:cantSplit/>
          <w:tblHeader w:val="false"/>
        </w:trPr>
        <w:tc>
          <w:tcPr>
            <w:tcW w:type="dxa" w:w="4614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14B Agentic AI Architecture</w:t>
            </w:r>
          </w:p>
        </w:tc>
        <w:tc>
          <w:tcPr>
            <w:tcW w:type="dxa" w:w="5024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TS-14</w:t>
            </w:r>
          </w:p>
        </w:tc>
      </w:tr>
      <w:tr>
        <w:trPr>
          <w:cantSplit/>
          <w:tblHeader w:val="false"/>
        </w:trPr>
        <w:tc>
          <w:tcPr>
            <w:tcW w:type="dxa" w:w="4614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14C Six Specialist Agents</w:t>
            </w:r>
          </w:p>
        </w:tc>
        <w:tc>
          <w:tcPr>
            <w:tcW w:type="dxa" w:w="5024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TS-15 (Agents 01–05), TS-14 (Agent 06 Orchestrator)</w:t>
            </w:r>
          </w:p>
        </w:tc>
      </w:tr>
      <w:tr>
        <w:trPr>
          <w:cantSplit/>
          <w:tblHeader w:val="false"/>
        </w:trPr>
        <w:tc>
          <w:tcPr>
            <w:tcW w:type="dxa" w:w="4614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14D Safety, Trust &amp; Governance</w:t>
            </w:r>
          </w:p>
        </w:tc>
        <w:tc>
          <w:tcPr>
            <w:tcW w:type="dxa" w:w="5024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TS-16</w:t>
            </w:r>
          </w:p>
        </w:tc>
      </w:tr>
      <w:tr>
        <w:trPr>
          <w:cantSplit/>
          <w:tblHeader w:val="false"/>
        </w:trPr>
        <w:tc>
          <w:tcPr>
            <w:tcW w:type="dxa" w:w="4614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14E Implementation Phasing &amp; Metrics</w:t>
            </w:r>
          </w:p>
        </w:tc>
        <w:tc>
          <w:tcPr>
            <w:tcW w:type="dxa" w:w="5024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TS-17</w:t>
            </w:r>
          </w:p>
        </w:tc>
      </w:tr>
    </w:tbl>
    <w:p>
      <w:pPr>
        <w:spacing w:after="80"/>
      </w:pPr>
    </w:p>
    <w:p>
      <w:pPr>
        <w:pStyle w:val="Heading1"/>
      </w:pPr>
      <w:r>
        <w:t xml:space="preserve">4. Document Template</w:t>
      </w:r>
    </w:p>
    <w:p>
      <w:pPr>
        <w:spacing w:after="120"/>
      </w:pPr>
      <w:r>
        <w:t xml:space="preserve">Every specification follows the same two-part structure so reviewers can stop at the depth they need.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76"/>
        <w:gridCol w:w="3101"/>
        <w:gridCol w:w="4461"/>
      </w:tblGrid>
      <w:tr>
        <w:trPr>
          <w:cantSplit/>
          <w:tblHeader/>
        </w:trPr>
        <w:tc>
          <w:tcPr>
            <w:tcW w:type="dxa" w:w="2076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Part</w:t>
            </w:r>
          </w:p>
        </w:tc>
        <w:tc>
          <w:tcPr>
            <w:tcW w:type="dxa" w:w="3101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Section</w:t>
            </w:r>
          </w:p>
        </w:tc>
        <w:tc>
          <w:tcPr>
            <w:tcW w:type="dxa" w:w="4461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Content</w:t>
            </w:r>
          </w:p>
        </w:tc>
      </w:tr>
      <w:tr>
        <w:trPr>
          <w:cantSplit/>
          <w:tblHeader w:val="false"/>
        </w:trPr>
        <w:tc>
          <w:tcPr>
            <w:tcW w:type="dxa" w:w="2076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A — Design</w:t>
            </w:r>
          </w:p>
        </w:tc>
        <w:tc>
          <w:tcPr>
            <w:tcW w:type="dxa" w:w="3101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Purpose &amp; scope</w:t>
            </w:r>
          </w:p>
        </w:tc>
        <w:tc>
          <w:tcPr>
            <w:tcW w:type="dxa" w:w="4461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What the component does and explicitly does not do</w:t>
            </w:r>
          </w:p>
        </w:tc>
      </w:tr>
      <w:tr>
        <w:trPr>
          <w:cantSplit/>
          <w:tblHeader w:val="false"/>
        </w:trPr>
        <w:tc>
          <w:tcPr>
            <w:tcW w:type="dxa" w:w="2076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A — Design</w:t>
            </w:r>
          </w:p>
        </w:tc>
        <w:tc>
          <w:tcPr>
            <w:tcW w:type="dxa" w:w="3101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Context &amp; responsibilities</w:t>
            </w:r>
          </w:p>
        </w:tc>
        <w:tc>
          <w:tcPr>
            <w:tcW w:type="dxa" w:w="4461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Position in the five-layer architecture, upstream/downstream</w:t>
            </w:r>
          </w:p>
        </w:tc>
      </w:tr>
      <w:tr>
        <w:trPr>
          <w:cantSplit/>
          <w:tblHeader w:val="false"/>
        </w:trPr>
        <w:tc>
          <w:tcPr>
            <w:tcW w:type="dxa" w:w="2076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A — Design</w:t>
            </w:r>
          </w:p>
        </w:tc>
        <w:tc>
          <w:tcPr>
            <w:tcW w:type="dxa" w:w="3101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Component decomposition</w:t>
            </w:r>
          </w:p>
        </w:tc>
        <w:tc>
          <w:tcPr>
            <w:tcW w:type="dxa" w:w="4461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Sub-components and their responsibilities</w:t>
            </w:r>
          </w:p>
        </w:tc>
      </w:tr>
      <w:tr>
        <w:trPr>
          <w:cantSplit/>
          <w:tblHeader w:val="false"/>
        </w:trPr>
        <w:tc>
          <w:tcPr>
            <w:tcW w:type="dxa" w:w="2076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A — Design</w:t>
            </w:r>
          </w:p>
        </w:tc>
        <w:tc>
          <w:tcPr>
            <w:tcW w:type="dxa" w:w="3101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Interfaces (summary)</w:t>
            </w:r>
          </w:p>
        </w:tc>
        <w:tc>
          <w:tcPr>
            <w:tcW w:type="dxa" w:w="4461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Inbound/outbound contracts at a glance</w:t>
            </w:r>
          </w:p>
        </w:tc>
      </w:tr>
      <w:tr>
        <w:trPr>
          <w:cantSplit/>
          <w:tblHeader w:val="false"/>
        </w:trPr>
        <w:tc>
          <w:tcPr>
            <w:tcW w:type="dxa" w:w="2076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A — Design</w:t>
            </w:r>
          </w:p>
        </w:tc>
        <w:tc>
          <w:tcPr>
            <w:tcW w:type="dxa" w:w="3101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Key design decisions</w:t>
            </w:r>
          </w:p>
        </w:tc>
        <w:tc>
          <w:tcPr>
            <w:tcW w:type="dxa" w:w="4461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Decisions with rationale and alternatives rejected</w:t>
            </w:r>
          </w:p>
        </w:tc>
      </w:tr>
      <w:tr>
        <w:trPr>
          <w:cantSplit/>
          <w:tblHeader w:val="false"/>
        </w:trPr>
        <w:tc>
          <w:tcPr>
            <w:tcW w:type="dxa" w:w="2076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A — Design</w:t>
            </w:r>
          </w:p>
        </w:tc>
        <w:tc>
          <w:tcPr>
            <w:tcW w:type="dxa" w:w="3101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Non-functional requirements</w:t>
            </w:r>
          </w:p>
        </w:tc>
        <w:tc>
          <w:tcPr>
            <w:tcW w:type="dxa" w:w="4461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Performance, availability, scale, security targets</w:t>
            </w:r>
          </w:p>
        </w:tc>
      </w:tr>
      <w:tr>
        <w:trPr>
          <w:cantSplit/>
          <w:tblHeader w:val="false"/>
        </w:trPr>
        <w:tc>
          <w:tcPr>
            <w:tcW w:type="dxa" w:w="2076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B — Low-level</w:t>
            </w:r>
          </w:p>
        </w:tc>
        <w:tc>
          <w:tcPr>
            <w:tcW w:type="dxa" w:w="3101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Data models &amp; schemas</w:t>
            </w:r>
          </w:p>
        </w:tc>
        <w:tc>
          <w:tcPr>
            <w:tcW w:type="dxa" w:w="4461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Field-level schemas, key structures, retention</w:t>
            </w:r>
          </w:p>
        </w:tc>
      </w:tr>
      <w:tr>
        <w:trPr>
          <w:cantSplit/>
          <w:tblHeader w:val="false"/>
        </w:trPr>
        <w:tc>
          <w:tcPr>
            <w:tcW w:type="dxa" w:w="2076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B — Low-level</w:t>
            </w:r>
          </w:p>
        </w:tc>
        <w:tc>
          <w:tcPr>
            <w:tcW w:type="dxa" w:w="3101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APIs &amp; contracts</w:t>
            </w:r>
          </w:p>
        </w:tc>
        <w:tc>
          <w:tcPr>
            <w:tcW w:type="dxa" w:w="4461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Endpoints, topics, payloads, error codes</w:t>
            </w:r>
          </w:p>
        </w:tc>
      </w:tr>
      <w:tr>
        <w:trPr>
          <w:cantSplit/>
          <w:tblHeader w:val="false"/>
        </w:trPr>
        <w:tc>
          <w:tcPr>
            <w:tcW w:type="dxa" w:w="2076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B — Low-level</w:t>
            </w:r>
          </w:p>
        </w:tc>
        <w:tc>
          <w:tcPr>
            <w:tcW w:type="dxa" w:w="3101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Algorithms &amp; processing logic</w:t>
            </w:r>
          </w:p>
        </w:tc>
        <w:tc>
          <w:tcPr>
            <w:tcW w:type="dxa" w:w="4461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Pseudocode, formulae, state machines</w:t>
            </w:r>
          </w:p>
        </w:tc>
      </w:tr>
      <w:tr>
        <w:trPr>
          <w:cantSplit/>
          <w:tblHeader w:val="false"/>
        </w:trPr>
        <w:tc>
          <w:tcPr>
            <w:tcW w:type="dxa" w:w="2076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B — Low-level</w:t>
            </w:r>
          </w:p>
        </w:tc>
        <w:tc>
          <w:tcPr>
            <w:tcW w:type="dxa" w:w="3101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Configuration</w:t>
            </w:r>
          </w:p>
        </w:tc>
        <w:tc>
          <w:tcPr>
            <w:tcW w:type="dxa" w:w="4461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Parameters, defaults, allowed ranges, owner</w:t>
            </w:r>
          </w:p>
        </w:tc>
      </w:tr>
      <w:tr>
        <w:trPr>
          <w:cantSplit/>
          <w:tblHeader w:val="false"/>
        </w:trPr>
        <w:tc>
          <w:tcPr>
            <w:tcW w:type="dxa" w:w="2076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B — Low-level</w:t>
            </w:r>
          </w:p>
        </w:tc>
        <w:tc>
          <w:tcPr>
            <w:tcW w:type="dxa" w:w="3101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Failure modes</w:t>
            </w:r>
          </w:p>
        </w:tc>
        <w:tc>
          <w:tcPr>
            <w:tcW w:type="dxa" w:w="4461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Detection, impact, automated handling, manual runbook</w:t>
            </w:r>
          </w:p>
        </w:tc>
      </w:tr>
      <w:tr>
        <w:trPr>
          <w:cantSplit/>
          <w:tblHeader w:val="false"/>
        </w:trPr>
        <w:tc>
          <w:tcPr>
            <w:tcW w:type="dxa" w:w="2076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B — Low-level</w:t>
            </w:r>
          </w:p>
        </w:tc>
        <w:tc>
          <w:tcPr>
            <w:tcW w:type="dxa" w:w="3101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Component self-observability</w:t>
            </w:r>
          </w:p>
        </w:tc>
        <w:tc>
          <w:tcPr>
            <w:tcW w:type="dxa" w:w="4461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Metrics, logs and alerts the component itself emits</w:t>
            </w:r>
          </w:p>
        </w:tc>
      </w:tr>
      <w:tr>
        <w:trPr>
          <w:cantSplit/>
          <w:tblHeader w:val="false"/>
        </w:trPr>
        <w:tc>
          <w:tcPr>
            <w:tcW w:type="dxa" w:w="2076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B — Low-level</w:t>
            </w:r>
          </w:p>
        </w:tc>
        <w:tc>
          <w:tcPr>
            <w:tcW w:type="dxa" w:w="3101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Security controls</w:t>
            </w:r>
          </w:p>
        </w:tc>
        <w:tc>
          <w:tcPr>
            <w:tcW w:type="dxa" w:w="4461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AuthN/Z, encryption, secrets, audit</w:t>
            </w:r>
          </w:p>
        </w:tc>
      </w:tr>
      <w:tr>
        <w:trPr>
          <w:cantSplit/>
          <w:tblHeader w:val="false"/>
        </w:trPr>
        <w:tc>
          <w:tcPr>
            <w:tcW w:type="dxa" w:w="2076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B — Low-level</w:t>
            </w:r>
          </w:p>
        </w:tc>
        <w:tc>
          <w:tcPr>
            <w:tcW w:type="dxa" w:w="3101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Test &amp; acceptance criteria</w:t>
            </w:r>
          </w:p>
        </w:tc>
        <w:tc>
          <w:tcPr>
            <w:tcW w:type="dxa" w:w="4461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Verifiable criteria tied to requirement IDs</w:t>
            </w:r>
          </w:p>
        </w:tc>
      </w:tr>
      <w:tr>
        <w:trPr>
          <w:cantSplit/>
          <w:tblHeader w:val="false"/>
        </w:trPr>
        <w:tc>
          <w:tcPr>
            <w:tcW w:type="dxa" w:w="2076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B — Low-level</w:t>
            </w:r>
          </w:p>
        </w:tc>
        <w:tc>
          <w:tcPr>
            <w:tcW w:type="dxa" w:w="3101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Assumptions &amp; open issues</w:t>
            </w:r>
          </w:p>
        </w:tc>
        <w:tc>
          <w:tcPr>
            <w:tcW w:type="dxa" w:w="4461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Items for architecture review</w:t>
            </w:r>
          </w:p>
        </w:tc>
      </w:tr>
    </w:tbl>
    <w:p>
      <w:pPr>
        <w:spacing w:after="80"/>
      </w:pPr>
    </w:p>
    <w:p>
      <w:pPr>
        <w:pStyle w:val="Heading1"/>
      </w:pPr>
      <w:r>
        <w:t xml:space="preserve">5. Conventions</w:t>
      </w:r>
    </w:p>
    <w:p>
      <w:pPr>
        <w:pStyle w:val="Heading2"/>
      </w:pPr>
      <w:r>
        <w:t xml:space="preserve">5.1 Requirement identifiers</w:t>
      </w:r>
    </w:p>
    <w:p>
      <w:pPr>
        <w:spacing w:after="120"/>
      </w:pPr>
      <w:r>
        <w:t xml:space="preserve">Requirements use the form </w:t>
      </w:r>
      <w:r>
        <w:rPr>
          <w:rFonts w:ascii="Consolas" w:cs="Consolas" w:eastAsia="Consolas" w:hAnsi="Consolas"/>
          <w:color w:val="9B2C2C"/>
          <w:sz w:val="18"/>
          <w:szCs w:val="18"/>
        </w:rPr>
        <w:t xml:space="preserve">TSnn-TYPE-nnn</w:t>
      </w:r>
      <w:r>
        <w:t xml:space="preserve">, for example </w:t>
      </w:r>
      <w:r>
        <w:rPr>
          <w:rFonts w:ascii="Consolas" w:cs="Consolas" w:eastAsia="Consolas" w:hAnsi="Consolas"/>
          <w:color w:val="9B2C2C"/>
          <w:sz w:val="18"/>
          <w:szCs w:val="18"/>
        </w:rPr>
        <w:t xml:space="preserve">TS05-FR-012</w:t>
      </w:r>
      <w:r>
        <w:t xml:space="preserve">. Types: </w:t>
      </w:r>
      <w:r>
        <w:rPr>
          <w:b/>
          <w:bCs/>
        </w:rPr>
        <w:t xml:space="preserve">FR</w:t>
      </w:r>
      <w:r>
        <w:t xml:space="preserve"> functional, </w:t>
      </w:r>
      <w:r>
        <w:rPr>
          <w:b/>
          <w:bCs/>
        </w:rPr>
        <w:t xml:space="preserve">NFR</w:t>
      </w:r>
      <w:r>
        <w:t xml:space="preserve"> non-functional, </w:t>
      </w:r>
      <w:r>
        <w:rPr>
          <w:b/>
          <w:bCs/>
        </w:rPr>
        <w:t xml:space="preserve">SEC</w:t>
      </w:r>
      <w:r>
        <w:t xml:space="preserve"> security, </w:t>
      </w:r>
      <w:r>
        <w:rPr>
          <w:b/>
          <w:bCs/>
        </w:rPr>
        <w:t xml:space="preserve">OPS</w:t>
      </w:r>
      <w:r>
        <w:t xml:space="preserve"> operational, </w:t>
      </w:r>
      <w:r>
        <w:rPr>
          <w:b/>
          <w:bCs/>
        </w:rPr>
        <w:t xml:space="preserve">AC</w:t>
      </w:r>
      <w:r>
        <w:t xml:space="preserve"> acceptance criterion. Each AC references the requirement(s) it verifies. Keywords MUST, SHOULD and MAY carry their RFC 2119 meanings.</w:t>
      </w:r>
    </w:p>
    <w:p>
      <w:pPr>
        <w:pStyle w:val="Heading2"/>
      </w:pPr>
      <w:r>
        <w:t xml:space="preserve">5.2 Units and formats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Time: UTC, ISO 8601 with millisecond precision (</w:t>
      </w:r>
      <w:r>
        <w:rPr>
          <w:rFonts w:ascii="Consolas" w:cs="Consolas" w:eastAsia="Consolas" w:hAnsi="Consolas"/>
          <w:color w:val="9B2C2C"/>
          <w:sz w:val="18"/>
          <w:szCs w:val="18"/>
        </w:rPr>
        <w:t xml:space="preserve">2026-10-14T09:15:30.125Z</w:t>
      </w:r>
      <w:r>
        <w:t xml:space="preserve">). Durations in ISO 8601 (</w:t>
      </w:r>
      <w:r>
        <w:rPr>
          <w:rFonts w:ascii="Consolas" w:cs="Consolas" w:eastAsia="Consolas" w:hAnsi="Consolas"/>
          <w:color w:val="9B2C2C"/>
          <w:sz w:val="18"/>
          <w:szCs w:val="18"/>
        </w:rPr>
        <w:t xml:space="preserve">PT5M</w:t>
      </w:r>
      <w:r>
        <w:t xml:space="preserve">) in configuration, seconds in metrics.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Scores: all anomaly, confidence and similarity scores are normalised floats in the closed range [0.0, 1.0].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Sizes: binary units (MiB, GiB) for memory and storage; events per second (eps) for throughput.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Identifiers: UUIDv7 for events, incidents and actions (time-ordered); CMDB CI identifiers retained as issued by the CMDB.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Configuration: YAML, versioned in Git, delivered via GitOps (TS-11). No component reads configuration from mutable local files.</w:t>
      </w:r>
    </w:p>
    <w:p>
      <w:pPr>
        <w:pStyle w:val="Heading2"/>
      </w:pPr>
      <w:r>
        <w:t xml:space="preserve">5.3 Shared identifiers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92"/>
        <w:gridCol w:w="3031"/>
        <w:gridCol w:w="2330"/>
        <w:gridCol w:w="2285"/>
      </w:tblGrid>
      <w:tr>
        <w:trPr>
          <w:cantSplit/>
          <w:tblHeader/>
        </w:trPr>
        <w:tc>
          <w:tcPr>
            <w:tcW w:type="dxa" w:w="1992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Identifier</w:t>
            </w:r>
          </w:p>
        </w:tc>
        <w:tc>
          <w:tcPr>
            <w:tcW w:type="dxa" w:w="3031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Format</w:t>
            </w:r>
          </w:p>
        </w:tc>
        <w:tc>
          <w:tcPr>
            <w:tcW w:type="dxa" w:w="233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Issued by</w:t>
            </w:r>
          </w:p>
        </w:tc>
        <w:tc>
          <w:tcPr>
            <w:tcW w:type="dxa" w:w="2285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Used by</w:t>
            </w:r>
          </w:p>
        </w:tc>
      </w:tr>
      <w:tr>
        <w:trPr>
          <w:cantSplit/>
          <w:tblHeader w:val="false"/>
        </w:trPr>
        <w:tc>
          <w:tcPr>
            <w:tcW w:type="dxa" w:w="1992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9B2C2C"/>
                <w:sz w:val="18"/>
                <w:szCs w:val="18"/>
              </w:rPr>
              <w:t xml:space="preserve">event_id</w:t>
            </w:r>
          </w:p>
        </w:tc>
        <w:tc>
          <w:tcPr>
            <w:tcW w:type="dxa" w:w="3031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UUIDv7</w:t>
            </w:r>
          </w:p>
        </w:tc>
        <w:tc>
          <w:tcPr>
            <w:tcW w:type="dxa" w:w="233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TS-03 normaliser</w:t>
            </w:r>
          </w:p>
        </w:tc>
        <w:tc>
          <w:tcPr>
            <w:tcW w:type="dxa" w:w="2285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TS-03, TS-04, TS-10 audit</w:t>
            </w:r>
          </w:p>
        </w:tc>
      </w:tr>
      <w:tr>
        <w:trPr>
          <w:cantSplit/>
          <w:tblHeader w:val="false"/>
        </w:trPr>
        <w:tc>
          <w:tcPr>
            <w:tcW w:type="dxa" w:w="1992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9B2C2C"/>
                <w:sz w:val="18"/>
                <w:szCs w:val="18"/>
              </w:rPr>
              <w:t xml:space="preserve">entity_id</w:t>
            </w:r>
          </w:p>
        </w:tc>
        <w:tc>
          <w:tcPr>
            <w:tcW w:type="dxa" w:w="3031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9B2C2C"/>
                <w:sz w:val="18"/>
                <w:szCs w:val="18"/>
              </w:rPr>
              <w:t xml:space="preserve">&lt;ci_class&gt;:&lt;cmdb_ci_id&gt;</w:t>
            </w:r>
          </w:p>
        </w:tc>
        <w:tc>
          <w:tcPr>
            <w:tcW w:type="dxa" w:w="233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TS-03 CMDB resolver</w:t>
            </w:r>
          </w:p>
        </w:tc>
        <w:tc>
          <w:tcPr>
            <w:tcW w:type="dxa" w:w="2285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All downstream components</w:t>
            </w:r>
          </w:p>
        </w:tc>
      </w:tr>
      <w:tr>
        <w:trPr>
          <w:cantSplit/>
          <w:tblHeader w:val="false"/>
        </w:trPr>
        <w:tc>
          <w:tcPr>
            <w:tcW w:type="dxa" w:w="1992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9B2C2C"/>
                <w:sz w:val="18"/>
                <w:szCs w:val="18"/>
              </w:rPr>
              <w:t xml:space="preserve">feature_vector_id</w:t>
            </w:r>
          </w:p>
        </w:tc>
        <w:tc>
          <w:tcPr>
            <w:tcW w:type="dxa" w:w="3031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9B2C2C"/>
                <w:sz w:val="18"/>
                <w:szCs w:val="18"/>
              </w:rPr>
              <w:t xml:space="preserve">&lt;entity_id&gt;:&lt;window&gt;:&lt;window_end_epoch_ms&gt;</w:t>
            </w:r>
          </w:p>
        </w:tc>
        <w:tc>
          <w:tcPr>
            <w:tcW w:type="dxa" w:w="233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TS-04</w:t>
            </w:r>
          </w:p>
        </w:tc>
        <w:tc>
          <w:tcPr>
            <w:tcW w:type="dxa" w:w="2285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TS-05, TS-06</w:t>
            </w:r>
          </w:p>
        </w:tc>
      </w:tr>
      <w:tr>
        <w:trPr>
          <w:cantSplit/>
          <w:tblHeader w:val="false"/>
        </w:trPr>
        <w:tc>
          <w:tcPr>
            <w:tcW w:type="dxa" w:w="1992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9B2C2C"/>
                <w:sz w:val="18"/>
                <w:szCs w:val="18"/>
              </w:rPr>
              <w:t xml:space="preserve">detection_id</w:t>
            </w:r>
          </w:p>
        </w:tc>
        <w:tc>
          <w:tcPr>
            <w:tcW w:type="dxa" w:w="3031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UUIDv7</w:t>
            </w:r>
          </w:p>
        </w:tc>
        <w:tc>
          <w:tcPr>
            <w:tcW w:type="dxa" w:w="233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TS-05 score fusion</w:t>
            </w:r>
          </w:p>
        </w:tc>
        <w:tc>
          <w:tcPr>
            <w:tcW w:type="dxa" w:w="2285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TS-07, TS-10</w:t>
            </w:r>
          </w:p>
        </w:tc>
      </w:tr>
      <w:tr>
        <w:trPr>
          <w:cantSplit/>
          <w:tblHeader w:val="false"/>
        </w:trPr>
        <w:tc>
          <w:tcPr>
            <w:tcW w:type="dxa" w:w="1992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9B2C2C"/>
                <w:sz w:val="18"/>
                <w:szCs w:val="18"/>
              </w:rPr>
              <w:t xml:space="preserve">incident_id</w:t>
            </w:r>
          </w:p>
        </w:tc>
        <w:tc>
          <w:tcPr>
            <w:tcW w:type="dxa" w:w="3031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UUIDv7 (internal) + ITSM number (external)</w:t>
            </w:r>
          </w:p>
        </w:tc>
        <w:tc>
          <w:tcPr>
            <w:tcW w:type="dxa" w:w="233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TS-07 / TS-08</w:t>
            </w:r>
          </w:p>
        </w:tc>
        <w:tc>
          <w:tcPr>
            <w:tcW w:type="dxa" w:w="2285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TS-08, TS-13–TS-16</w:t>
            </w:r>
          </w:p>
        </w:tc>
      </w:tr>
      <w:tr>
        <w:trPr>
          <w:cantSplit/>
          <w:tblHeader w:val="false"/>
        </w:trPr>
        <w:tc>
          <w:tcPr>
            <w:tcW w:type="dxa" w:w="1992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9B2C2C"/>
                <w:sz w:val="18"/>
                <w:szCs w:val="18"/>
              </w:rPr>
              <w:t xml:space="preserve">action_id</w:t>
            </w:r>
          </w:p>
        </w:tc>
        <w:tc>
          <w:tcPr>
            <w:tcW w:type="dxa" w:w="3031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UUIDv7</w:t>
            </w:r>
          </w:p>
        </w:tc>
        <w:tc>
          <w:tcPr>
            <w:tcW w:type="dxa" w:w="233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TS-14 tool execution layer</w:t>
            </w:r>
          </w:p>
        </w:tc>
        <w:tc>
          <w:tcPr>
            <w:tcW w:type="dxa" w:w="2285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TS-15, TS-16 audit</w:t>
            </w:r>
          </w:p>
        </w:tc>
      </w:tr>
      <w:tr>
        <w:trPr>
          <w:cantSplit/>
          <w:tblHeader w:val="false"/>
        </w:trPr>
        <w:tc>
          <w:tcPr>
            <w:tcW w:type="dxa" w:w="1992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9B2C2C"/>
                <w:sz w:val="18"/>
                <w:szCs w:val="18"/>
              </w:rPr>
              <w:t xml:space="preserve">model_version</w:t>
            </w:r>
          </w:p>
        </w:tc>
        <w:tc>
          <w:tcPr>
            <w:tcW w:type="dxa" w:w="3031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9B2C2C"/>
                <w:sz w:val="18"/>
                <w:szCs w:val="18"/>
              </w:rPr>
              <w:t xml:space="preserve">&lt;model_name&gt;@&lt;semver&gt;+&lt;train_date&gt;</w:t>
            </w:r>
          </w:p>
        </w:tc>
        <w:tc>
          <w:tcPr>
            <w:tcW w:type="dxa" w:w="233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TS-06 registry</w:t>
            </w:r>
          </w:p>
        </w:tc>
        <w:tc>
          <w:tcPr>
            <w:tcW w:type="dxa" w:w="2285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TS-05, TS-10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5.4 Severity and tier vocabularies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17"/>
        <w:gridCol w:w="5341"/>
        <w:gridCol w:w="1780"/>
      </w:tblGrid>
      <w:tr>
        <w:trPr>
          <w:cantSplit/>
          <w:tblHeader/>
        </w:trPr>
        <w:tc>
          <w:tcPr>
            <w:tcW w:type="dxa" w:w="2517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Vocabulary</w:t>
            </w:r>
          </w:p>
        </w:tc>
        <w:tc>
          <w:tcPr>
            <w:tcW w:type="dxa" w:w="5341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Values</w:t>
            </w:r>
          </w:p>
        </w:tc>
        <w:tc>
          <w:tcPr>
            <w:tcW w:type="dxa" w:w="178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Defined in</w:t>
            </w:r>
          </w:p>
        </w:tc>
      </w:tr>
      <w:tr>
        <w:trPr>
          <w:cantSplit/>
          <w:tblHeader w:val="false"/>
        </w:trPr>
        <w:tc>
          <w:tcPr>
            <w:tcW w:type="dxa" w:w="2517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Incident severity</w:t>
            </w:r>
          </w:p>
        </w:tc>
        <w:tc>
          <w:tcPr>
            <w:tcW w:type="dxa" w:w="5341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P1 Critical, P2 High, P3 Medium, P4 Low</w:t>
            </w:r>
          </w:p>
        </w:tc>
        <w:tc>
          <w:tcPr>
            <w:tcW w:type="dxa" w:w="178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TS-07</w:t>
            </w:r>
          </w:p>
        </w:tc>
      </w:tr>
      <w:tr>
        <w:trPr>
          <w:cantSplit/>
          <w:tblHeader w:val="false"/>
        </w:trPr>
        <w:tc>
          <w:tcPr>
            <w:tcW w:type="dxa" w:w="2517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Action safety tier</w:t>
            </w:r>
          </w:p>
        </w:tc>
        <w:tc>
          <w:tcPr>
            <w:tcW w:type="dxa" w:w="5341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Tier 1 Safe, Tier 2 Low-risk/notify, Tier 3 Approval required, Tier 4 Human only</w:t>
            </w:r>
          </w:p>
        </w:tc>
        <w:tc>
          <w:tcPr>
            <w:tcW w:type="dxa" w:w="178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TS-16</w:t>
            </w:r>
          </w:p>
        </w:tc>
      </w:tr>
      <w:tr>
        <w:trPr>
          <w:cantSplit/>
          <w:tblHeader w:val="false"/>
        </w:trPr>
        <w:tc>
          <w:tcPr>
            <w:tcW w:type="dxa" w:w="2517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Implementation phase</w:t>
            </w:r>
          </w:p>
        </w:tc>
        <w:tc>
          <w:tcPr>
            <w:tcW w:type="dxa" w:w="5341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Phase 1 Foundation, Phase 2 Shadow, Phase 3 Controlled automation, Phase 4 Full automation</w:t>
            </w:r>
          </w:p>
        </w:tc>
        <w:tc>
          <w:tcPr>
            <w:tcW w:type="dxa" w:w="178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TS-17</w:t>
            </w:r>
          </w:p>
        </w:tc>
      </w:tr>
      <w:tr>
        <w:trPr>
          <w:cantSplit/>
          <w:tblHeader w:val="false"/>
        </w:trPr>
        <w:tc>
          <w:tcPr>
            <w:tcW w:type="dxa" w:w="2517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Baseline maturity</w:t>
            </w:r>
          </w:p>
        </w:tc>
        <w:tc>
          <w:tcPr>
            <w:tcW w:type="dxa" w:w="5341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Bootstrap-0 (day 0–2), Bootstrap-1 (day 3–6), Bootstrap-2 (day 7–13), Mature (day 14+)</w:t>
            </w:r>
          </w:p>
        </w:tc>
        <w:tc>
          <w:tcPr>
            <w:tcW w:type="dxa" w:w="178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TS-06</w:t>
            </w:r>
          </w:p>
        </w:tc>
      </w:tr>
    </w:tbl>
    <w:p>
      <w:pPr>
        <w:spacing w:after="80"/>
      </w:pPr>
    </w:p>
    <w:p>
      <w:pPr>
        <w:pStyle w:val="Heading1"/>
      </w:pPr>
      <w:r>
        <w:t xml:space="preserve">6. Glossary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64"/>
        <w:gridCol w:w="7074"/>
      </w:tblGrid>
      <w:tr>
        <w:trPr>
          <w:cantSplit/>
          <w:tblHeader/>
        </w:trPr>
        <w:tc>
          <w:tcPr>
            <w:tcW w:type="dxa" w:w="2564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Term</w:t>
            </w:r>
          </w:p>
        </w:tc>
        <w:tc>
          <w:tcPr>
            <w:tcW w:type="dxa" w:w="7074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Meaning</w:t>
            </w:r>
          </w:p>
        </w:tc>
      </w:tr>
      <w:tr>
        <w:trPr>
          <w:cantSplit/>
          <w:tblHeader w:val="false"/>
        </w:trPr>
        <w:tc>
          <w:tcPr>
            <w:tcW w:type="dxa" w:w="2564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CI</w:t>
            </w:r>
          </w:p>
        </w:tc>
        <w:tc>
          <w:tcPr>
            <w:tcW w:type="dxa" w:w="7074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Configuration Item in the CMDB</w:t>
            </w:r>
          </w:p>
        </w:tc>
      </w:tr>
      <w:tr>
        <w:trPr>
          <w:cantSplit/>
          <w:tblHeader w:val="false"/>
        </w:trPr>
        <w:tc>
          <w:tcPr>
            <w:tcW w:type="dxa" w:w="2564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PIDD</w:t>
            </w:r>
          </w:p>
        </w:tc>
        <w:tc>
          <w:tcPr>
            <w:tcW w:type="dxa" w:w="7074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Short name for this solution (Proactive Infrastructure Disruption Detection) used in identifiers, priority classes and ITSM source fields</w:t>
            </w:r>
          </w:p>
        </w:tc>
      </w:tr>
      <w:tr>
        <w:trPr>
          <w:cantSplit/>
          <w:tblHeader w:val="false"/>
        </w:trPr>
        <w:tc>
          <w:tcPr>
            <w:tcW w:type="dxa" w:w="2564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ECS</w:t>
            </w:r>
          </w:p>
        </w:tc>
        <w:tc>
          <w:tcPr>
            <w:tcW w:type="dxa" w:w="7074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Elastic Common Schema — target normalised event schema</w:t>
            </w:r>
          </w:p>
        </w:tc>
      </w:tr>
      <w:tr>
        <w:trPr>
          <w:cantSplit/>
          <w:tblHeader w:val="false"/>
        </w:trPr>
        <w:tc>
          <w:tcPr>
            <w:tcW w:type="dxa" w:w="2564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ISO</w:t>
            </w:r>
          </w:p>
        </w:tc>
        <w:tc>
          <w:tcPr>
            <w:tcW w:type="dxa" w:w="7074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Incident State Object — shared JSON state for agents (TS-14)</w:t>
            </w:r>
          </w:p>
        </w:tc>
      </w:tr>
      <w:tr>
        <w:trPr>
          <w:cantSplit/>
          <w:tblHeader w:val="false"/>
        </w:trPr>
        <w:tc>
          <w:tcPr>
            <w:tcW w:type="dxa" w:w="2564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KRI</w:t>
            </w:r>
          </w:p>
        </w:tc>
        <w:tc>
          <w:tcPr>
            <w:tcW w:type="dxa" w:w="7074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Key Risk Indicator — leading indicator of degradation of the solution itself</w:t>
            </w:r>
          </w:p>
        </w:tc>
      </w:tr>
      <w:tr>
        <w:trPr>
          <w:cantSplit/>
          <w:tblHeader w:val="false"/>
        </w:trPr>
        <w:tc>
          <w:tcPr>
            <w:tcW w:type="dxa" w:w="2564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MTTA / MTTD / MTTR</w:t>
            </w:r>
          </w:p>
        </w:tc>
        <w:tc>
          <w:tcPr>
            <w:tcW w:type="dxa" w:w="7074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Mean time to acknowledge / detect / resolve</w:t>
            </w:r>
          </w:p>
        </w:tc>
      </w:tr>
      <w:tr>
        <w:trPr>
          <w:cantSplit/>
          <w:tblHeader w:val="false"/>
        </w:trPr>
        <w:tc>
          <w:tcPr>
            <w:tcW w:type="dxa" w:w="2564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PSI</w:t>
            </w:r>
          </w:p>
        </w:tc>
        <w:tc>
          <w:tcPr>
            <w:tcW w:type="dxa" w:w="7074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Population Stability Index — feature drift measure</w:t>
            </w:r>
          </w:p>
        </w:tc>
      </w:tr>
      <w:tr>
        <w:trPr>
          <w:cantSplit/>
          <w:tblHeader w:val="false"/>
        </w:trPr>
        <w:tc>
          <w:tcPr>
            <w:tcW w:type="dxa" w:w="2564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RAG</w:t>
            </w:r>
          </w:p>
        </w:tc>
        <w:tc>
          <w:tcPr>
            <w:tcW w:type="dxa" w:w="7074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Retrieval-Augmented Generation</w:t>
            </w:r>
          </w:p>
        </w:tc>
      </w:tr>
      <w:tr>
        <w:trPr>
          <w:cantSplit/>
          <w:tblHeader w:val="false"/>
        </w:trPr>
        <w:tc>
          <w:tcPr>
            <w:tcW w:type="dxa" w:w="2564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ReAct</w:t>
            </w:r>
          </w:p>
        </w:tc>
        <w:tc>
          <w:tcPr>
            <w:tcW w:type="dxa" w:w="7074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Reason + Act agent loop (Think → Act → Observe → Reflect)</w:t>
            </w:r>
          </w:p>
        </w:tc>
      </w:tr>
      <w:tr>
        <w:trPr>
          <w:cantSplit/>
          <w:tblHeader w:val="false"/>
        </w:trPr>
        <w:tc>
          <w:tcPr>
            <w:tcW w:type="dxa" w:w="2564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SHAP</w:t>
            </w:r>
          </w:p>
        </w:tc>
        <w:tc>
          <w:tcPr>
            <w:tcW w:type="dxa" w:w="7074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SHapley Additive exPlanations — per-feature contribution to a score</w:t>
            </w:r>
          </w:p>
        </w:tc>
      </w:tr>
      <w:tr>
        <w:trPr>
          <w:cantSplit/>
          <w:tblHeader w:val="false"/>
        </w:trPr>
        <w:tc>
          <w:tcPr>
            <w:tcW w:type="dxa" w:w="2564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SPC</w:t>
            </w:r>
          </w:p>
        </w:tc>
        <w:tc>
          <w:tcPr>
            <w:tcW w:type="dxa" w:w="7074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Statistical Process Control (Shewhart, CUSUM)</w:t>
            </w:r>
          </w:p>
        </w:tc>
      </w:tr>
    </w:tbl>
    <w:p>
      <w:pPr>
        <w:spacing w:after="80"/>
      </w:pPr>
    </w:p>
    <w:p>
      <w:pPr>
        <w:pStyle w:val="Heading1"/>
      </w:pPr>
      <w:r>
        <w:t xml:space="preserve">7. Change Control for this Specification Set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Each specification is versioned independently; a change to a shared identifier, vocabulary or schema in this index requires review by the owners of every dependent specification.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Parameter values quoted from the white paper (thresholds, SLAs, targets) are marked as </w:t>
      </w:r>
      <w:r>
        <w:rPr>
          <w:b/>
          <w:bCs/>
        </w:rPr>
        <w:t xml:space="preserve">baseline defaults</w:t>
      </w:r>
      <w:r>
        <w:t xml:space="preserve">. Changes to defaults are configuration changes, not specification changes, provided they stay within the documented allowed range.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Architecture Review Board sign-off is required before a specification moves from Draft to Approved.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638"/>
      </w:tabs>
    </w:pPr>
    <w:r>
      <w:rPr>
        <w:color w:val="595959"/>
        <w:sz w:val="16"/>
        <w:szCs w:val="16"/>
      </w:rPr>
      <w:t xml:space="preserve">Sakul Gupta · Confidential</w:t>
    </w:r>
    <w:r>
      <w:rPr>
        <w:color w:val="595959"/>
        <w:sz w:val="16"/>
        <w:szCs w:val="16"/>
      </w:rPr>
      <w:t xml:space="preserve">	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C9D4" w:sz="4" w:space="4"/>
      </w:pBdr>
      <w:tabs>
        <w:tab w:val="right" w:pos="9638"/>
      </w:tabs>
    </w:pPr>
    <w:r>
      <w:rPr>
        <w:color w:val="595959"/>
        <w:sz w:val="16"/>
        <w:szCs w:val="16"/>
      </w:rPr>
      <w:t xml:space="preserve">TS-00 · Specification Set Index and Conventions</w:t>
    </w:r>
    <w:r>
      <w:rPr>
        <w:color w:val="595959"/>
        <w:sz w:val="16"/>
        <w:szCs w:val="16"/>
      </w:rPr>
      <w:t xml:space="preserve">	Technical Specification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  <w:lvl w:ilvl="1" w15:tentative="1">
      <w:start w:val="1"/>
      <w:numFmt w:val="bullet"/>
      <w:lvlText w:val="◦"/>
      <w:lvlJc w:val="left"/>
      <w:pPr>
        <w:ind w:left="100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>
      <w:pPr>
        <w:spacing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160" w:before="360"/>
      <w:outlineLvl w:val="0"/>
    </w:pPr>
    <w:rPr>
      <w:rFonts w:ascii="Calibri" w:cs="Calibri" w:eastAsia="Calibri" w:hAnsi="Calibri"/>
      <w:b/>
      <w:bCs/>
      <w:color w:val="1F3A5F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spacing w:after="120" w:before="280"/>
      <w:outlineLvl w:val="1"/>
    </w:pPr>
    <w:rPr>
      <w:rFonts w:ascii="Calibri" w:cs="Calibri" w:eastAsia="Calibri" w:hAnsi="Calibri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keepNext/>
      <w:spacing w:after="80" w:before="200"/>
      <w:outlineLvl w:val="2"/>
    </w:pPr>
    <w:rPr>
      <w:rFonts w:ascii="Calibri" w:cs="Calibri" w:eastAsia="Calibri" w:hAnsi="Calibri"/>
      <w:b/>
      <w:bCs/>
      <w:color w:val="333F4F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TS-00 Specification Set Index and Conventions</dc:title>
  <dc:creator>Sakul Gupta</dc:creator>
  <cp:lastModifiedBy>Un-named</cp:lastModifiedBy>
  <cp:revision>1</cp:revision>
  <dcterms:created xsi:type="dcterms:W3CDTF">2026-10-14T10:44:25.349Z</dcterms:created>
  <dcterms:modified xsi:type="dcterms:W3CDTF">2026-10-14T10:44:25.354Z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