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TS-09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Deployment Architecture, HA/DR and Platform Security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Kubernetes topology, namespaces, sizing, storage classes, multi-AZ placement, multi-region active-active and warm-standby DR, network segmentation, identity, encryption and supply-chain controls for the whole solution.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7"/>
        <w:gridCol w:w="6151"/>
      </w:tblGrid>
      <w:tr>
        <w:trPr>
          <w:cantSplit/>
          <w:tblHeader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TS-09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08 Deployment Architecture &amp; Infrastructure · 13C (Multi-Region &amp; Disaster Recovery)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TS-01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Deployment Topology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Namespaces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Reference Component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Placement and Availability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applied to every stateless Deployment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Multi-Region and Disaster Recovery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7.1 Modes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7.2 Replication matrix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7.3 Failover runbook (warm standby)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Network Segmentation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Security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Failure Modes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Defines where and how every component runs: cluster layout, resource specifications, placement and anti-affinity, persistent storage, high availability across three availability zones, cross-region disaster recovery, and the platform security baseline. Elastic scaling behaviour is specified in TS-12.</w:t>
      </w:r>
    </w:p>
    <w:p>
      <w:pPr>
        <w:pStyle w:val="Heading1"/>
      </w:pPr>
      <w:r>
        <w:t xml:space="preserve">2. Deployment Topology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7"/>
        <w:gridCol w:w="7571"/>
      </w:tblGrid>
      <w:tr>
        <w:trPr>
          <w:cantSplit/>
          <w:tblHeader/>
        </w:trPr>
        <w:tc>
          <w:tcPr>
            <w:tcW w:type="dxa" w:w="20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5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Kubernetes</w:t>
            </w:r>
          </w:p>
        </w:tc>
        <w:tc>
          <w:tcPr>
            <w:tcW w:type="dxa" w:w="75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CNCF-conformant ≥ 1.29; managed (EKS/AKS/GKE) or on-premises (OpenShift/Rancher/vanilla)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Clusters per region</w:t>
            </w:r>
          </w:p>
        </w:tc>
        <w:tc>
          <w:tcPr>
            <w:tcW w:type="dxa" w:w="75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production cluster (3 AZs) + 1 non-production cluster; optional dedicated data cluster for Kafka/OpenSearch when on bare metal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Node pools</w:t>
            </w:r>
          </w:p>
        </w:tc>
        <w:tc>
          <w:tcPr>
            <w:tcW w:type="dxa" w:w="75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system</w:t>
            </w:r>
            <w:r>
              <w:rPr>
                <w:sz w:val="18"/>
                <w:szCs w:val="18"/>
              </w:rPr>
              <w:t xml:space="preserve"> (control add-ons),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stream</w:t>
            </w:r>
            <w:r>
              <w:rPr>
                <w:sz w:val="18"/>
                <w:szCs w:val="18"/>
              </w:rPr>
              <w:t xml:space="preserve"> (Flink, Kafka if in-cluster),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data</w:t>
            </w:r>
            <w:r>
              <w:rPr>
                <w:sz w:val="18"/>
                <w:szCs w:val="18"/>
              </w:rPr>
              <w:t xml:space="preserve"> (Redis, OpenSearch, VictoriaMetrics, PostgreSQL),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</w:t>
            </w:r>
            <w:r>
              <w:rPr>
                <w:sz w:val="18"/>
                <w:szCs w:val="18"/>
              </w:rPr>
              <w:t xml:space="preserve"> (inference; optional GPU),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batch</w:t>
            </w:r>
            <w:r>
              <w:rPr>
                <w:sz w:val="18"/>
                <w:szCs w:val="18"/>
              </w:rPr>
              <w:t xml:space="preserve"> (training jobs, spot/pre-emptible allowed),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apps</w:t>
            </w:r>
            <w:r>
              <w:rPr>
                <w:sz w:val="18"/>
                <w:szCs w:val="18"/>
              </w:rPr>
              <w:t xml:space="preserve"> (decision, integration, agents, gateway)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 mesh</w:t>
            </w:r>
          </w:p>
        </w:tc>
        <w:tc>
          <w:tcPr>
            <w:tcW w:type="dxa" w:w="75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Istio or Linkerd, mTLS STRICT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GitOps</w:t>
            </w:r>
          </w:p>
        </w:tc>
        <w:tc>
          <w:tcPr>
            <w:tcW w:type="dxa" w:w="75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Argo CD (or Flux) per cluster, app-of-apps per environment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Ingress</w:t>
            </w:r>
          </w:p>
        </w:tc>
        <w:tc>
          <w:tcPr>
            <w:tcW w:type="dxa" w:w="75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Internal API gateway (2–8 replicas) for UI, callbacks and agent APIs; no public ingress except signed chat callbacks via WAF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Namespaces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7"/>
        <w:gridCol w:w="6751"/>
      </w:tblGrid>
      <w:tr>
        <w:trPr>
          <w:cantSplit/>
          <w:tblHeader/>
        </w:trPr>
        <w:tc>
          <w:tcPr>
            <w:tcW w:type="dxa" w:w="2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Namespace</w:t>
            </w:r>
          </w:p>
        </w:tc>
        <w:tc>
          <w:tcPr>
            <w:tcW w:type="dxa" w:w="67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rPr>
          <w:cantSplit/>
          <w:tblHeader w:val="false"/>
        </w:trPr>
        <w:tc>
          <w:tcPr>
            <w:tcW w:type="dxa" w:w="2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7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OTel agents (DaemonSet), gateways, pullers</w:t>
            </w:r>
          </w:p>
        </w:tc>
      </w:tr>
      <w:tr>
        <w:trPr>
          <w:cantSplit/>
          <w:tblHeader w:val="false"/>
        </w:trPr>
        <w:tc>
          <w:tcPr>
            <w:tcW w:type="dxa" w:w="2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streaming</w:t>
            </w:r>
          </w:p>
        </w:tc>
        <w:tc>
          <w:tcPr>
            <w:tcW w:type="dxa" w:w="67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Kafka (Strimzi operator), Schema Registry, Cruise Control, Flink operator and jobs</w:t>
            </w:r>
          </w:p>
        </w:tc>
      </w:tr>
      <w:tr>
        <w:trPr>
          <w:cantSplit/>
          <w:tblHeader w:val="false"/>
        </w:trPr>
        <w:tc>
          <w:tcPr>
            <w:tcW w:type="dxa" w:w="2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</w:t>
            </w:r>
          </w:p>
        </w:tc>
        <w:tc>
          <w:tcPr>
            <w:tcW w:type="dxa" w:w="67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Redis Cluster, Feature Service</w:t>
            </w:r>
          </w:p>
        </w:tc>
      </w:tr>
      <w:tr>
        <w:trPr>
          <w:cantSplit/>
          <w:tblHeader w:val="false"/>
        </w:trPr>
        <w:tc>
          <w:tcPr>
            <w:tcW w:type="dxa" w:w="2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</w:t>
            </w:r>
          </w:p>
        </w:tc>
        <w:tc>
          <w:tcPr>
            <w:tcW w:type="dxa" w:w="67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Inference service, GNN scorer, Model Registry, training pipelines</w:t>
            </w:r>
          </w:p>
        </w:tc>
      </w:tr>
      <w:tr>
        <w:trPr>
          <w:cantSplit/>
          <w:tblHeader w:val="false"/>
        </w:trPr>
        <w:tc>
          <w:tcPr>
            <w:tcW w:type="dxa" w:w="2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decision</w:t>
            </w:r>
          </w:p>
        </w:tc>
        <w:tc>
          <w:tcPr>
            <w:tcW w:type="dxa" w:w="67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 Engine (Flink job or service), policy store</w:t>
            </w:r>
          </w:p>
        </w:tc>
      </w:tr>
      <w:tr>
        <w:trPr>
          <w:cantSplit/>
          <w:tblHeader w:val="false"/>
        </w:trPr>
        <w:tc>
          <w:tcPr>
            <w:tcW w:type="dxa" w:w="2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67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router, adapters, outbox DB, SLA tracker, feedback collector</w:t>
            </w:r>
          </w:p>
        </w:tc>
      </w:tr>
      <w:tr>
        <w:trPr>
          <w:cantSplit/>
          <w:tblHeader w:val="false"/>
        </w:trPr>
        <w:tc>
          <w:tcPr>
            <w:tcW w:type="dxa" w:w="2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genai</w:t>
            </w:r>
          </w:p>
        </w:tc>
        <w:tc>
          <w:tcPr>
            <w:tcW w:type="dxa" w:w="67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LLM gateway, RAG services, vector DB, re-ranker (TS-13)</w:t>
            </w:r>
          </w:p>
        </w:tc>
      </w:tr>
      <w:tr>
        <w:trPr>
          <w:cantSplit/>
          <w:tblHeader w:val="false"/>
        </w:trPr>
        <w:tc>
          <w:tcPr>
            <w:tcW w:type="dxa" w:w="2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agents</w:t>
            </w:r>
          </w:p>
        </w:tc>
        <w:tc>
          <w:tcPr>
            <w:tcW w:type="dxa" w:w="67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Orchestrator, specialist agents, tool execution layer, ISO store (TS-14/15)</w:t>
            </w:r>
          </w:p>
        </w:tc>
      </w:tr>
      <w:tr>
        <w:trPr>
          <w:cantSplit/>
          <w:tblHeader w:val="false"/>
        </w:trPr>
        <w:tc>
          <w:tcPr>
            <w:tcW w:type="dxa" w:w="2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storage</w:t>
            </w:r>
          </w:p>
        </w:tc>
        <w:tc>
          <w:tcPr>
            <w:tcW w:type="dxa" w:w="67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OpenSearch, VictoriaMetrics, PostgreSQL clusters</w:t>
            </w:r>
          </w:p>
        </w:tc>
      </w:tr>
      <w:tr>
        <w:trPr>
          <w:cantSplit/>
          <w:tblHeader w:val="false"/>
        </w:trPr>
        <w:tc>
          <w:tcPr>
            <w:tcW w:type="dxa" w:w="2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governance</w:t>
            </w:r>
          </w:p>
        </w:tc>
        <w:tc>
          <w:tcPr>
            <w:tcW w:type="dxa" w:w="67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 sink, policy engine (OPA Gatekeeper/Kyverno), dashboards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7"/>
        <w:gridCol w:w="7091"/>
      </w:tblGrid>
      <w:tr>
        <w:trPr>
          <w:cantSplit/>
          <w:tblHeader/>
        </w:trPr>
        <w:tc>
          <w:tcPr>
            <w:tcW w:type="dxa" w:w="25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5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TS09-NFR-001</w:t>
            </w:r>
          </w:p>
        </w:tc>
        <w:tc>
          <w:tcPr>
            <w:tcW w:type="dxa" w:w="70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Survive loss of any single AZ with no data loss and ≤ 10 min throughput recovery</w:t>
            </w:r>
          </w:p>
        </w:tc>
      </w:tr>
      <w:tr>
        <w:trPr>
          <w:cantSplit/>
          <w:tblHeader w:val="false"/>
        </w:trPr>
        <w:tc>
          <w:tcPr>
            <w:tcW w:type="dxa" w:w="25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TS09-NFR-002</w:t>
            </w:r>
          </w:p>
        </w:tc>
        <w:tc>
          <w:tcPr>
            <w:tcW w:type="dxa" w:w="70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Regional DR: RPO &lt; 5 min, RTO &lt; 15 min for core detection pipeline</w:t>
            </w:r>
          </w:p>
        </w:tc>
      </w:tr>
      <w:tr>
        <w:trPr>
          <w:cantSplit/>
          <w:tblHeader w:val="false"/>
        </w:trPr>
        <w:tc>
          <w:tcPr>
            <w:tcW w:type="dxa" w:w="25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TS09-NFR-003</w:t>
            </w:r>
          </w:p>
        </w:tc>
        <w:tc>
          <w:tcPr>
            <w:tcW w:type="dxa" w:w="70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stateful components replicated across 3 AZs</w:t>
            </w:r>
          </w:p>
        </w:tc>
      </w:tr>
      <w:tr>
        <w:trPr>
          <w:cantSplit/>
          <w:tblHeader w:val="false"/>
        </w:trPr>
        <w:tc>
          <w:tcPr>
            <w:tcW w:type="dxa" w:w="25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TS09-NFR-004</w:t>
            </w:r>
          </w:p>
        </w:tc>
        <w:tc>
          <w:tcPr>
            <w:tcW w:type="dxa" w:w="70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privileged containers outside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system</w:t>
            </w:r>
            <w:r>
              <w:rPr>
                <w:sz w:val="18"/>
                <w:szCs w:val="18"/>
              </w:rPr>
              <w:t xml:space="preserve"> and OTel host agents (scoped exceptions documented)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5. Reference Component Specification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3"/>
        <w:gridCol w:w="1916"/>
        <w:gridCol w:w="1818"/>
        <w:gridCol w:w="1793"/>
        <w:gridCol w:w="2268"/>
      </w:tblGrid>
      <w:tr>
        <w:trPr>
          <w:cantSplit/>
          <w:tblHeader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Replicas (min/max)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Per-instance resources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OTel agent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DaemonSet + systemd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per node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vCPU / 512 MiB (limit)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hostPath queue 2 GiB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OTel gateway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 / 24 (2 per AZ min)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 vCPU / 8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PVC 100 GiB queue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Kafka broker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StatefulSet (Strimzi)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 (3–12)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16 vCPU / 64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NVMe 4 TiB local + tiered object storage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Schema Registry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vCPU / 2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Flink JobManager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(HA via K8s leader election)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 vCPU / 8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Flink TaskManager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(reactive mode)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 / 32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 vCPU / 32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RocksDB local SSD 200 GiB; checkpoints to object storage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Redis Cluster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StatefulSet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 / 18 primaries + replicas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 vCPU / 32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PVC 64 GiB (AOF on replicas)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Feature Service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/ 12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vCPU / 4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Inference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/ 20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 vCPU / 16 GiB (+ optional 1 GPU)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GNN scorer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/ 6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 vCPU / 32 GiB (+ GPU recommended)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Training pipeline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Kubernetes Jobs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 schedule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16 vCPU / 64 GiB per job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Ephemeral 500 GiB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 Registry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+ PostgreSQL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vCPU / 4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Object storage artefacts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 Engine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/ Flink job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/ 12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 vCPU / 8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Checkpointed state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integration workers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/ 10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vCPU / 4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PostgreSQL outbox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Time-series store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VictoriaMetrics cluster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vminsert 3, vmselect 3, vmstorage 3+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vmstorage 16 vCPU / 128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SSD 4 TiB each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 store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OpenSearch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masters, 6+ hot, 3+ warm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Hot 16 vCPU / 64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Hot SSD 2 TiB; warm HDD 8 TiB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PostgreSQL (outbox, registry, policy)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Operator-managed (CloudNativePG/Patroni)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(1 primary, 2 sync/async replicas)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 vCPU / 16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SSD 500 GiB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/ 8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vCPU / 4 GiB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GenAI / agents</w:t>
            </w:r>
          </w:p>
        </w:tc>
        <w:tc>
          <w:tcPr>
            <w:tcW w:type="dxa" w:w="19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See TS-13, TS-14</w:t>
            </w:r>
          </w:p>
        </w:tc>
        <w:tc>
          <w:tcPr>
            <w:tcW w:type="dxa" w:w="18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Placement and Availability Controls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# applied to every stateless Deployment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topologySpreadConstraints: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- maxSkew: 1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topologyKey: topology.kubernetes.io/zone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whenUnsatisfiable: DoNotSchedule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podAntiAffinity: preferredDuringScheduling on kubernetes.io/hostname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PodDisruptionBudget: minAvailable = max(2, ceil(0.66 * replicas))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priorityClassName: pidd-critical | pidd-standard | pidd-batch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3861"/>
        <w:gridCol w:w="3568"/>
      </w:tblGrid>
      <w:tr>
        <w:trPr>
          <w:cantSplit/>
          <w:tblHeader/>
        </w:trPr>
        <w:tc>
          <w:tcPr>
            <w:tcW w:type="dxa" w:w="22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Stateful component</w:t>
            </w:r>
          </w:p>
        </w:tc>
        <w:tc>
          <w:tcPr>
            <w:tcW w:type="dxa" w:w="38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Replication</w:t>
            </w:r>
          </w:p>
        </w:tc>
        <w:tc>
          <w:tcPr>
            <w:tcW w:type="dxa" w:w="3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AZ guarantee</w:t>
            </w:r>
          </w:p>
        </w:tc>
      </w:tr>
      <w:tr>
        <w:trPr>
          <w:cantSplit/>
          <w:tblHeader w:val="false"/>
        </w:trPr>
        <w:tc>
          <w:tcPr>
            <w:tcW w:type="dxa" w:w="22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Kafka</w:t>
            </w:r>
          </w:p>
        </w:tc>
        <w:tc>
          <w:tcPr>
            <w:tcW w:type="dxa" w:w="38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RF 3,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min.insync.replicas</w:t>
            </w:r>
            <w:r>
              <w:rPr>
                <w:sz w:val="18"/>
                <w:szCs w:val="18"/>
              </w:rPr>
              <w:t xml:space="preserve"> 2, rack-aware</w:t>
            </w:r>
          </w:p>
        </w:tc>
        <w:tc>
          <w:tcPr>
            <w:tcW w:type="dxa" w:w="3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replica per AZ</w:t>
            </w:r>
          </w:p>
        </w:tc>
      </w:tr>
      <w:tr>
        <w:trPr>
          <w:cantSplit/>
          <w:tblHeader w:val="false"/>
        </w:trPr>
        <w:tc>
          <w:tcPr>
            <w:tcW w:type="dxa" w:w="22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38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Replica per primary in different AZ</w:t>
            </w:r>
          </w:p>
        </w:tc>
        <w:tc>
          <w:tcPr>
            <w:tcW w:type="dxa" w:w="3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Cluster survives AZ loss with replica promotion</w:t>
            </w:r>
          </w:p>
        </w:tc>
      </w:tr>
      <w:tr>
        <w:trPr>
          <w:cantSplit/>
          <w:tblHeader w:val="false"/>
        </w:trPr>
        <w:tc>
          <w:tcPr>
            <w:tcW w:type="dxa" w:w="22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OpenSearch</w:t>
            </w:r>
          </w:p>
        </w:tc>
        <w:tc>
          <w:tcPr>
            <w:tcW w:type="dxa" w:w="38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replica per shard, shard allocation awareness by zone</w:t>
            </w:r>
          </w:p>
        </w:tc>
        <w:tc>
          <w:tcPr>
            <w:tcW w:type="dxa" w:w="3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Forced awareness</w:t>
            </w:r>
          </w:p>
        </w:tc>
      </w:tr>
      <w:tr>
        <w:trPr>
          <w:cantSplit/>
          <w:tblHeader w:val="false"/>
        </w:trPr>
        <w:tc>
          <w:tcPr>
            <w:tcW w:type="dxa" w:w="22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VictoriaMetrics</w:t>
            </w:r>
          </w:p>
        </w:tc>
        <w:tc>
          <w:tcPr>
            <w:tcW w:type="dxa" w:w="38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-replicationFactor=2</w:t>
            </w:r>
            <w:r>
              <w:rPr>
                <w:sz w:val="18"/>
                <w:szCs w:val="18"/>
              </w:rPr>
              <w:t xml:space="preserve"> on vminsert across zones</w:t>
            </w:r>
          </w:p>
        </w:tc>
        <w:tc>
          <w:tcPr>
            <w:tcW w:type="dxa" w:w="3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2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38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Synchronous replica in second AZ</w:t>
            </w:r>
          </w:p>
        </w:tc>
        <w:tc>
          <w:tcPr>
            <w:tcW w:type="dxa" w:w="3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2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Flink</w:t>
            </w:r>
          </w:p>
        </w:tc>
        <w:tc>
          <w:tcPr>
            <w:tcW w:type="dxa" w:w="38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Checkpoints in regional object storage; JobManager HA</w:t>
            </w:r>
          </w:p>
        </w:tc>
        <w:tc>
          <w:tcPr>
            <w:tcW w:type="dxa" w:w="3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Restart in surviving AZs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Priority classes: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pidd-critical</w:t>
      </w:r>
      <w:r>
        <w:t xml:space="preserve"> (collectors, Kafka, Flink, inference, decision, integration),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pidd-standard</w:t>
      </w:r>
      <w:r>
        <w:t xml:space="preserve"> (GenAI, agents, UI),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pidd-batch</w:t>
      </w:r>
      <w:r>
        <w:t xml:space="preserve"> (training; pre-emptible).</w:t>
      </w:r>
    </w:p>
    <w:p>
      <w:pPr>
        <w:pStyle w:val="Heading1"/>
      </w:pPr>
      <w:r>
        <w:t xml:space="preserve">7. Multi-Region and Disaster Recovery</w:t>
      </w:r>
    </w:p>
    <w:p>
      <w:pPr>
        <w:pStyle w:val="Heading2"/>
      </w:pPr>
      <w:r>
        <w:t xml:space="preserve">7.1 Modes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8"/>
        <w:gridCol w:w="5731"/>
        <w:gridCol w:w="2209"/>
      </w:tblGrid>
      <w:tr>
        <w:trPr>
          <w:cantSplit/>
          <w:tblHeader/>
        </w:trPr>
        <w:tc>
          <w:tcPr>
            <w:tcW w:type="dxa" w:w="16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57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cantSplit/>
          <w:tblHeader w:val="false"/>
        </w:trPr>
        <w:tc>
          <w:tcPr>
            <w:tcW w:type="dxa" w:w="16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Active-active</w:t>
            </w:r>
          </w:p>
        </w:tc>
        <w:tc>
          <w:tcPr>
            <w:tcW w:type="dxa" w:w="57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Each region runs a full independent stack on its own telemetry; global correlator consumes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ml.detections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decision.incidents</w:t>
            </w:r>
            <w:r>
              <w:rPr>
                <w:sz w:val="18"/>
                <w:szCs w:val="18"/>
              </w:rPr>
              <w:t xml:space="preserve"> from all regions</w:t>
            </w:r>
          </w:p>
        </w:tc>
        <w:tc>
          <w:tcPr>
            <w:tcW w:type="dxa" w:w="22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Multi-region estates</w:t>
            </w:r>
          </w:p>
        </w:tc>
      </w:tr>
      <w:tr>
        <w:trPr>
          <w:cantSplit/>
          <w:tblHeader w:val="false"/>
        </w:trPr>
        <w:tc>
          <w:tcPr>
            <w:tcW w:type="dxa" w:w="16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Warm standby</w:t>
            </w:r>
          </w:p>
        </w:tc>
        <w:tc>
          <w:tcPr>
            <w:tcW w:type="dxa" w:w="57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Secondary region has stack at minimum replicas; Kafka MirrorMaker 2 replicates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ref.*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feedback.labels</w:t>
            </w:r>
            <w:r>
              <w:rPr>
                <w:sz w:val="18"/>
                <w:szCs w:val="18"/>
              </w:rPr>
              <w:t xml:space="preserve">; models and baselines synced</w:t>
            </w:r>
          </w:p>
        </w:tc>
        <w:tc>
          <w:tcPr>
            <w:tcW w:type="dxa" w:w="22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Single-primary estates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Replication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2"/>
        <w:gridCol w:w="4593"/>
        <w:gridCol w:w="2023"/>
      </w:tblGrid>
      <w:tr>
        <w:trPr>
          <w:cantSplit/>
          <w:tblHeader/>
        </w:trPr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5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0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Lag target</w:t>
            </w:r>
          </w:p>
        </w:tc>
      </w:tr>
      <w:tr>
        <w:trPr>
          <w:cantSplit/>
          <w:tblHeader w:val="false"/>
        </w:trPr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raw.*</w:t>
            </w:r>
            <w:r>
              <w:rPr>
                <w:sz w:val="18"/>
                <w:szCs w:val="18"/>
              </w:rPr>
              <w:t xml:space="preserve"> (for DR replay)</w:t>
            </w:r>
          </w:p>
        </w:tc>
        <w:tc>
          <w:tcPr>
            <w:tcW w:type="dxa" w:w="45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MirrorMaker 2, offset sync enabled</w:t>
            </w:r>
          </w:p>
        </w:tc>
        <w:tc>
          <w:tcPr>
            <w:tcW w:type="dxa" w:w="20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5 min (RPO)</w:t>
            </w:r>
          </w:p>
        </w:tc>
      </w:tr>
      <w:tr>
        <w:trPr>
          <w:cantSplit/>
          <w:tblHeader w:val="false"/>
        </w:trPr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ref.*</w:t>
            </w:r>
            <w:r>
              <w:rPr>
                <w:sz w:val="18"/>
                <w:szCs w:val="18"/>
              </w:rPr>
              <w:t xml:space="preserve"> (CMDB, baselines, TI)</w:t>
            </w:r>
          </w:p>
        </w:tc>
        <w:tc>
          <w:tcPr>
            <w:tcW w:type="dxa" w:w="45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MirrorMaker 2</w:t>
            </w:r>
          </w:p>
        </w:tc>
        <w:tc>
          <w:tcPr>
            <w:tcW w:type="dxa" w:w="20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5 min</w:t>
            </w:r>
          </w:p>
        </w:tc>
      </w:tr>
      <w:tr>
        <w:trPr>
          <w:cantSplit/>
          <w:tblHeader w:val="false"/>
        </w:trPr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 artefacts, registry DB</w:t>
            </w:r>
          </w:p>
        </w:tc>
        <w:tc>
          <w:tcPr>
            <w:tcW w:type="dxa" w:w="45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Object storage cross-region replication; PostgreSQL async replica</w:t>
            </w:r>
          </w:p>
        </w:tc>
        <w:tc>
          <w:tcPr>
            <w:tcW w:type="dxa" w:w="20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15 min</w:t>
            </w:r>
          </w:p>
        </w:tc>
      </w:tr>
      <w:tr>
        <w:trPr>
          <w:cantSplit/>
          <w:tblHeader w:val="false"/>
        </w:trPr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Outbox / ISO state</w:t>
            </w:r>
          </w:p>
        </w:tc>
        <w:tc>
          <w:tcPr>
            <w:tcW w:type="dxa" w:w="45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PostgreSQL async replica; ISO rebuilt from audit + ITSM on failover</w:t>
            </w:r>
          </w:p>
        </w:tc>
        <w:tc>
          <w:tcPr>
            <w:tcW w:type="dxa" w:w="20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5 min</w:t>
            </w:r>
          </w:p>
        </w:tc>
      </w:tr>
      <w:tr>
        <w:trPr>
          <w:cantSplit/>
          <w:tblHeader w:val="false"/>
        </w:trPr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OpenSearch logs</w:t>
            </w:r>
          </w:p>
        </w:tc>
        <w:tc>
          <w:tcPr>
            <w:tcW w:type="dxa" w:w="45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Cross-cluster replication for last 7 days (optional)</w:t>
            </w:r>
          </w:p>
        </w:tc>
        <w:tc>
          <w:tcPr>
            <w:tcW w:type="dxa" w:w="20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Best effort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Failover runbook (warm standby)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3"/>
        <w:gridCol w:w="5834"/>
        <w:gridCol w:w="2381"/>
      </w:tblGrid>
      <w:tr>
        <w:trPr>
          <w:cantSplit/>
          <w:tblHeader/>
        </w:trPr>
        <w:tc>
          <w:tcPr>
            <w:tcW w:type="dxa" w:w="14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8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</w:tr>
      <w:tr>
        <w:trPr>
          <w:cantSplit/>
          <w:tblHeader w:val="false"/>
        </w:trPr>
        <w:tc>
          <w:tcPr>
            <w:tcW w:type="dxa" w:w="14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8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Declare DR (human approval — Tier 4 per TS-16)</w:t>
            </w:r>
          </w:p>
        </w:tc>
        <w:tc>
          <w:tcPr>
            <w:tcW w:type="dxa" w:w="23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8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DNS / global LB failover for UI, callbacks, collectors' gateway endpoints</w:t>
            </w:r>
          </w:p>
        </w:tc>
        <w:tc>
          <w:tcPr>
            <w:tcW w:type="dxa" w:w="23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60 s</w:t>
            </w:r>
          </w:p>
        </w:tc>
      </w:tr>
      <w:tr>
        <w:trPr>
          <w:cantSplit/>
          <w:tblHeader w:val="false"/>
        </w:trPr>
        <w:tc>
          <w:tcPr>
            <w:tcW w:type="dxa" w:w="14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8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Scale secondary to production minimums (HPA min override)</w:t>
            </w:r>
          </w:p>
        </w:tc>
        <w:tc>
          <w:tcPr>
            <w:tcW w:type="dxa" w:w="23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~5 min</w:t>
            </w:r>
          </w:p>
        </w:tc>
      </w:tr>
      <w:tr>
        <w:trPr>
          <w:cantSplit/>
          <w:tblHeader w:val="false"/>
        </w:trPr>
        <w:tc>
          <w:tcPr>
            <w:tcW w:type="dxa" w:w="14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8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Flink jobs start from mirrored offsets; consumer catch-up</w:t>
            </w:r>
          </w:p>
        </w:tc>
        <w:tc>
          <w:tcPr>
            <w:tcW w:type="dxa" w:w="23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5 min</w:t>
            </w:r>
          </w:p>
        </w:tc>
      </w:tr>
      <w:tr>
        <w:trPr>
          <w:cantSplit/>
          <w:tblHeader w:val="false"/>
        </w:trPr>
        <w:tc>
          <w:tcPr>
            <w:tcW w:type="dxa" w:w="14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8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Inference ready, models loaded; decision engine rebuilds candidates from last 30 min</w:t>
            </w:r>
          </w:p>
        </w:tc>
        <w:tc>
          <w:tcPr>
            <w:tcW w:type="dxa" w:w="23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5 min</w:t>
            </w:r>
          </w:p>
        </w:tc>
      </w:tr>
      <w:tr>
        <w:trPr>
          <w:cantSplit/>
          <w:tblHeader w:val="false"/>
        </w:trPr>
        <w:tc>
          <w:tcPr>
            <w:tcW w:type="dxa" w:w="14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8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Verify synthetic canary incident end-to-end</w:t>
            </w:r>
          </w:p>
        </w:tc>
        <w:tc>
          <w:tcPr>
            <w:tcW w:type="dxa" w:w="23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2 min</w:t>
            </w:r>
          </w:p>
        </w:tc>
      </w:tr>
      <w:tr>
        <w:trPr>
          <w:cantSplit/>
          <w:tblHeader w:val="false"/>
        </w:trPr>
        <w:tc>
          <w:tcPr>
            <w:tcW w:type="dxa" w:w="14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58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  <w:tc>
          <w:tcPr>
            <w:tcW w:type="dxa" w:w="23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15 min (RTO)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DR is exercised quarterly; results recorded against TS09-NFR-002.</w:t>
      </w:r>
    </w:p>
    <w:p>
      <w:pPr>
        <w:pStyle w:val="Heading1"/>
      </w:pPr>
      <w:r>
        <w:t xml:space="preserve">8. Network Segmentation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5"/>
        <w:gridCol w:w="3849"/>
        <w:gridCol w:w="3194"/>
      </w:tblGrid>
      <w:tr>
        <w:trPr>
          <w:cantSplit/>
          <w:tblHeader/>
        </w:trPr>
        <w:tc>
          <w:tcPr>
            <w:tcW w:type="dxa" w:w="25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38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Allowed</w:t>
            </w:r>
          </w:p>
        </w:tc>
        <w:tc>
          <w:tcPr>
            <w:tcW w:type="dxa" w:w="31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Sources → OTel gateway</w:t>
            </w:r>
          </w:p>
        </w:tc>
        <w:tc>
          <w:tcPr>
            <w:tcW w:type="dxa" w:w="38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Defined ports (4317/4318, 6514 syslog-TLS, 2055/4739 flow) from source VLANs</w:t>
            </w:r>
          </w:p>
        </w:tc>
        <w:tc>
          <w:tcPr>
            <w:tcW w:type="dxa" w:w="31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Firewall + NetworkPolicy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Namespace → namespace</w:t>
            </w:r>
          </w:p>
        </w:tc>
        <w:tc>
          <w:tcPr>
            <w:tcW w:type="dxa" w:w="38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Only declared dependencies (e.g.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</w:t>
            </w:r>
            <w:r>
              <w:rPr>
                <w:sz w:val="18"/>
                <w:szCs w:val="18"/>
              </w:rPr>
              <w:t xml:space="preserve"> gRPC)</w:t>
            </w:r>
          </w:p>
        </w:tc>
        <w:tc>
          <w:tcPr>
            <w:tcW w:type="dxa" w:w="31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Default-deny NetworkPolicy + mesh AuthorizationPolicy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Agents → target infrastructure APIs</w:t>
            </w:r>
          </w:p>
        </w:tc>
        <w:tc>
          <w:tcPr>
            <w:tcW w:type="dxa" w:w="38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Only via tool execution layer egress gateway; per-tool destination allow-list</w:t>
            </w:r>
          </w:p>
        </w:tc>
        <w:tc>
          <w:tcPr>
            <w:tcW w:type="dxa" w:w="31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Egress gateway + mesh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GenAI → LLM provider</w:t>
            </w:r>
          </w:p>
        </w:tc>
        <w:tc>
          <w:tcPr>
            <w:tcW w:type="dxa" w:w="38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Via LLM gateway egress only; private endpoint / VPC peering</w:t>
            </w:r>
          </w:p>
        </w:tc>
        <w:tc>
          <w:tcPr>
            <w:tcW w:type="dxa" w:w="31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Egress allow-list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Chat callbacks inbound</w:t>
            </w:r>
          </w:p>
        </w:tc>
        <w:tc>
          <w:tcPr>
            <w:tcW w:type="dxa" w:w="38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WAF → API gateway → integration namespace</w:t>
            </w:r>
          </w:p>
        </w:tc>
        <w:tc>
          <w:tcPr>
            <w:tcW w:type="dxa" w:w="31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Signature verification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Security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6"/>
        <w:gridCol w:w="7372"/>
      </w:tblGrid>
      <w:tr>
        <w:trPr>
          <w:cantSplit/>
          <w:tblHeader/>
        </w:trPr>
        <w:tc>
          <w:tcPr>
            <w:tcW w:type="dxa" w:w="2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TS09-SEC-001</w:t>
            </w:r>
          </w:p>
        </w:tc>
        <w:tc>
          <w:tcPr>
            <w:tcW w:type="dxa" w:w="7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mTLS between all services via mesh; certificates from cert-manager with internal CA; rotation ≤ 24 h for workload certs</w:t>
            </w:r>
          </w:p>
        </w:tc>
      </w:tr>
      <w:tr>
        <w:trPr>
          <w:cantSplit/>
          <w:tblHeader w:val="false"/>
        </w:trPr>
        <w:tc>
          <w:tcPr>
            <w:tcW w:type="dxa" w:w="2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TS09-SEC-002</w:t>
            </w:r>
          </w:p>
        </w:tc>
        <w:tc>
          <w:tcPr>
            <w:tcW w:type="dxa" w:w="7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Encryption at rest AES-256 for all PVs, object storage and backups; keys in KMS/HSM; customer-managed keys where available</w:t>
            </w:r>
          </w:p>
        </w:tc>
      </w:tr>
      <w:tr>
        <w:trPr>
          <w:cantSplit/>
          <w:tblHeader w:val="false"/>
        </w:trPr>
        <w:tc>
          <w:tcPr>
            <w:tcW w:type="dxa" w:w="2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TS09-SEC-003</w:t>
            </w:r>
          </w:p>
        </w:tc>
        <w:tc>
          <w:tcPr>
            <w:tcW w:type="dxa" w:w="7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 access via OIDC/SAML SSO + MFA; Kubernetes RBAC mapped to roles in TS-01 SEC-002; break-glass accounts sealed and audited</w:t>
            </w:r>
          </w:p>
        </w:tc>
      </w:tr>
      <w:tr>
        <w:trPr>
          <w:cantSplit/>
          <w:tblHeader w:val="false"/>
        </w:trPr>
        <w:tc>
          <w:tcPr>
            <w:tcW w:type="dxa" w:w="2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TS09-SEC-004</w:t>
            </w:r>
          </w:p>
        </w:tc>
        <w:tc>
          <w:tcPr>
            <w:tcW w:type="dxa" w:w="7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Workload identity (IRSA / Workload Identity / SPIFFE) — no static cloud credentials in pods</w:t>
            </w:r>
          </w:p>
        </w:tc>
      </w:tr>
      <w:tr>
        <w:trPr>
          <w:cantSplit/>
          <w:tblHeader w:val="false"/>
        </w:trPr>
        <w:tc>
          <w:tcPr>
            <w:tcW w:type="dxa" w:w="2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TS09-SEC-005</w:t>
            </w:r>
          </w:p>
        </w:tc>
        <w:tc>
          <w:tcPr>
            <w:tcW w:type="dxa" w:w="7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Pod Security Standards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restricted</w:t>
            </w:r>
            <w:r>
              <w:rPr>
                <w:sz w:val="18"/>
                <w:szCs w:val="18"/>
              </w:rPr>
              <w:t xml:space="preserve"> on all namespaces except documented exceptions (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observability</w:t>
            </w:r>
            <w:r>
              <w:rPr>
                <w:sz w:val="18"/>
                <w:szCs w:val="18"/>
              </w:rPr>
              <w:t xml:space="preserve"> host agents)</w:t>
            </w:r>
          </w:p>
        </w:tc>
      </w:tr>
      <w:tr>
        <w:trPr>
          <w:cantSplit/>
          <w:tblHeader w:val="false"/>
        </w:trPr>
        <w:tc>
          <w:tcPr>
            <w:tcW w:type="dxa" w:w="2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TS09-SEC-006</w:t>
            </w:r>
          </w:p>
        </w:tc>
        <w:tc>
          <w:tcPr>
            <w:tcW w:type="dxa" w:w="7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Admission control: signed images only (cosign), SBOM attached, no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latest</w:t>
            </w:r>
            <w:r>
              <w:rPr>
                <w:sz w:val="18"/>
                <w:szCs w:val="18"/>
              </w:rPr>
              <w:t xml:space="preserve"> tags, resource limits mandatory</w:t>
            </w:r>
          </w:p>
        </w:tc>
      </w:tr>
      <w:tr>
        <w:trPr>
          <w:cantSplit/>
          <w:tblHeader w:val="false"/>
        </w:trPr>
        <w:tc>
          <w:tcPr>
            <w:tcW w:type="dxa" w:w="2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TS09-SEC-007</w:t>
            </w:r>
          </w:p>
        </w:tc>
        <w:tc>
          <w:tcPr>
            <w:tcW w:type="dxa" w:w="7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Container images scanned in CI and nightly; critical CVEs block deployment; high CVEs fixed ≤ 30 days</w:t>
            </w:r>
          </w:p>
        </w:tc>
      </w:tr>
      <w:tr>
        <w:trPr>
          <w:cantSplit/>
          <w:tblHeader w:val="false"/>
        </w:trPr>
        <w:tc>
          <w:tcPr>
            <w:tcW w:type="dxa" w:w="2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TS09-SEC-008</w:t>
            </w:r>
          </w:p>
        </w:tc>
        <w:tc>
          <w:tcPr>
            <w:tcW w:type="dxa" w:w="7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Privileged operations (kubectl exec, secret reads, Argo sync overrides) logged to immutable audit trail and SIEM</w:t>
            </w:r>
          </w:p>
        </w:tc>
      </w:tr>
      <w:tr>
        <w:trPr>
          <w:cantSplit/>
          <w:tblHeader w:val="false"/>
        </w:trPr>
        <w:tc>
          <w:tcPr>
            <w:tcW w:type="dxa" w:w="2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TS09-SEC-009</w:t>
            </w:r>
          </w:p>
        </w:tc>
        <w:tc>
          <w:tcPr>
            <w:tcW w:type="dxa" w:w="7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Backups: daily snapshots of PostgreSQL, registry, OpenSearch indices (critical), retained 35 days, restore tested monthly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Failure Modes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3"/>
        <w:gridCol w:w="6405"/>
      </w:tblGrid>
      <w:tr>
        <w:trPr>
          <w:cantSplit/>
          <w:tblHeader/>
        </w:trPr>
        <w:tc>
          <w:tcPr>
            <w:tcW w:type="dxa" w:w="32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6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Single node loss</w:t>
            </w:r>
          </w:p>
        </w:tc>
        <w:tc>
          <w:tcPr>
            <w:tcW w:type="dxa" w:w="6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Rescheduled; PDBs keep quorum; DaemonSet gap logged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AZ loss</w:t>
            </w:r>
          </w:p>
        </w:tc>
        <w:tc>
          <w:tcPr>
            <w:tcW w:type="dxa" w:w="6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Topology spread ensures ≥ 2/3 capacity; HPA scales in surviving AZs; Kafka/Redis/PG failover automatic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Region loss</w:t>
            </w:r>
          </w:p>
        </w:tc>
        <w:tc>
          <w:tcPr>
            <w:tcW w:type="dxa" w:w="6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Warm-standby failover per §7.3 or active-active continues in remaining regions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Mesh control-plane failure</w:t>
            </w:r>
          </w:p>
        </w:tc>
        <w:tc>
          <w:tcPr>
            <w:tcW w:type="dxa" w:w="6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 plane continues with cached config/certs (certs valid 24 h)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KMS unavailable</w:t>
            </w:r>
          </w:p>
        </w:tc>
        <w:tc>
          <w:tcPr>
            <w:tcW w:type="dxa" w:w="6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Running pods continue with cached data keys; new volume mounts fail → P1 platform incident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4"/>
        <w:gridCol w:w="7314"/>
      </w:tblGrid>
      <w:tr>
        <w:trPr>
          <w:cantSplit/>
          <w:tblHeader/>
        </w:trPr>
        <w:tc>
          <w:tcPr>
            <w:tcW w:type="dxa" w:w="23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3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TS09-AC-001</w:t>
            </w:r>
          </w:p>
        </w:tc>
        <w:tc>
          <w:tcPr>
            <w:tcW w:type="dxa" w:w="7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AZ-failure game day: zero acknowledged event loss; throughput recovered ≤ 10 min</w:t>
            </w:r>
          </w:p>
        </w:tc>
      </w:tr>
      <w:tr>
        <w:trPr>
          <w:cantSplit/>
          <w:tblHeader w:val="false"/>
        </w:trPr>
        <w:tc>
          <w:tcPr>
            <w:tcW w:type="dxa" w:w="23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TS09-AC-002</w:t>
            </w:r>
          </w:p>
        </w:tc>
        <w:tc>
          <w:tcPr>
            <w:tcW w:type="dxa" w:w="7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 failover exercise meets RPO &lt; 5 min and RTO &lt; 15 min with canary incident passing</w:t>
            </w:r>
          </w:p>
        </w:tc>
      </w:tr>
      <w:tr>
        <w:trPr>
          <w:cantSplit/>
          <w:tblHeader w:val="false"/>
        </w:trPr>
        <w:tc>
          <w:tcPr>
            <w:tcW w:type="dxa" w:w="23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TS09-AC-003</w:t>
            </w:r>
          </w:p>
        </w:tc>
        <w:tc>
          <w:tcPr>
            <w:tcW w:type="dxa" w:w="7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Policy audit: 100% of workloads comply with PSS restricted (or approved exception), signed images, limits set</w:t>
            </w:r>
          </w:p>
        </w:tc>
      </w:tr>
      <w:tr>
        <w:trPr>
          <w:cantSplit/>
          <w:tblHeader w:val="false"/>
        </w:trPr>
        <w:tc>
          <w:tcPr>
            <w:tcW w:type="dxa" w:w="23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TS09-AC-004</w:t>
            </w:r>
          </w:p>
        </w:tc>
        <w:tc>
          <w:tcPr>
            <w:tcW w:type="dxa" w:w="7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Penetration test of ingress and agent egress paths: no critical/high findings open at go-live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7918"/>
      </w:tblGrid>
      <w:tr>
        <w:trPr>
          <w:cantSplit/>
          <w:tblHeader/>
        </w:trPr>
        <w:tc>
          <w:tcPr>
            <w:tcW w:type="dxa" w:w="17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7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79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In-cluster Kafka (Strimzi) vs. managed Kafka service — decide per hosting model; spec values hold for both</w:t>
            </w:r>
          </w:p>
        </w:tc>
      </w:tr>
      <w:tr>
        <w:trPr>
          <w:cantSplit/>
          <w:tblHeader w:val="false"/>
        </w:trPr>
        <w:tc>
          <w:tcPr>
            <w:tcW w:type="dxa" w:w="17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OI-02</w:t>
            </w:r>
          </w:p>
        </w:tc>
        <w:tc>
          <w:tcPr>
            <w:tcW w:type="dxa" w:w="79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GPU availability for inference and GNN in on-premises deployments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TS-09 · Deployment Architecture, HA/DR and Platform Security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TS-09 Deployment Architecture, HA/DR and Platform Security</dc:title>
  <dc:creator>Sakul Gupta</dc:creator>
  <cp:lastModifiedBy>Un-named</cp:lastModifiedBy>
  <cp:revision>1</cp:revision>
  <dcterms:created xsi:type="dcterms:W3CDTF">2026-10-14T10:44:26.166Z</dcterms:created>
  <dcterms:modified xsi:type="dcterms:W3CDTF">2026-10-14T10:44:26.166Z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