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FD96" w14:textId="51933FE6" w:rsidR="00620374" w:rsidRPr="00620374" w:rsidRDefault="00620374" w:rsidP="006203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0374">
        <w:rPr>
          <w:rFonts w:ascii="Times New Roman" w:hAnsi="Times New Roman" w:cs="Times New Roman"/>
          <w:b/>
          <w:bCs/>
          <w:sz w:val="28"/>
          <w:szCs w:val="28"/>
        </w:rPr>
        <w:t>Trader Behaviour vs Market Sentiment</w:t>
      </w:r>
    </w:p>
    <w:p w14:paraId="5B04C2D5" w14:textId="77777777" w:rsidR="00A537AE" w:rsidRPr="00A537AE" w:rsidRDefault="00A537AE" w:rsidP="00A537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37AE">
        <w:rPr>
          <w:rFonts w:ascii="Times New Roman" w:hAnsi="Times New Roman" w:cs="Times New Roman"/>
          <w:b/>
          <w:bCs/>
          <w:sz w:val="26"/>
          <w:szCs w:val="26"/>
        </w:rPr>
        <w:t>Objective</w:t>
      </w:r>
    </w:p>
    <w:p w14:paraId="5A0B3C4E" w14:textId="23F78B69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Analyze how Bitcoin market sentiment (Fear vs Greed) affects trader behavior and performance on Hyperliquid, and derive actionable, sentiment-aware trading rules to improve risk management and outcomes.</w:t>
      </w:r>
    </w:p>
    <w:p w14:paraId="7C155B91" w14:textId="77777777" w:rsidR="00A537AE" w:rsidRPr="00A537AE" w:rsidRDefault="00A537AE" w:rsidP="00A537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37AE">
        <w:rPr>
          <w:rFonts w:ascii="Times New Roman" w:hAnsi="Times New Roman" w:cs="Times New Roman"/>
          <w:b/>
          <w:bCs/>
          <w:sz w:val="26"/>
          <w:szCs w:val="26"/>
        </w:rPr>
        <w:t>Methodology</w:t>
      </w:r>
    </w:p>
    <w:p w14:paraId="5A66C4B5" w14:textId="77777777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Trader execution data was aggregated at a daily per-account level to compute key performance and behavioral metrics, including daily PnL, win rate, trade frequency, average trade size, and long/short ratio.</w:t>
      </w:r>
    </w:p>
    <w:p w14:paraId="3395377C" w14:textId="77777777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The Bitcoin Fear &amp; Greed Index was normalized into two market regimes (Fear and Greed) and merged with trader data using calendar date alignment.</w:t>
      </w:r>
    </w:p>
    <w:p w14:paraId="51552AC9" w14:textId="6BBEF22A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Since explicit leverage information was not available, PnL volatility (standard deviation of daily PnL per trader) was used as a proxy for effective leverage and risk-taking behavior. Traders were segmented into high/low leverage, frequent/infrequent, and consistent/inconsistent groups using median-based thresholds to enable comparative analysis</w:t>
      </w:r>
    </w:p>
    <w:p w14:paraId="4B573A69" w14:textId="77777777" w:rsidR="00A537AE" w:rsidRPr="00A537AE" w:rsidRDefault="00A537AE" w:rsidP="00A537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37AE">
        <w:rPr>
          <w:rFonts w:ascii="Times New Roman" w:hAnsi="Times New Roman" w:cs="Times New Roman"/>
          <w:b/>
          <w:bCs/>
          <w:sz w:val="26"/>
          <w:szCs w:val="26"/>
        </w:rPr>
        <w:t>Key Insights</w:t>
      </w:r>
    </w:p>
    <w:p w14:paraId="6C689C5E" w14:textId="77777777" w:rsidR="00A537AE" w:rsidRPr="00A537AE" w:rsidRDefault="00A537AE" w:rsidP="00A537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Performance differs by sentiment (Fear vs Greed):</w:t>
      </w:r>
      <w:r w:rsidRPr="00A537AE">
        <w:rPr>
          <w:rFonts w:ascii="Times New Roman" w:hAnsi="Times New Roman" w:cs="Times New Roman"/>
          <w:sz w:val="24"/>
          <w:szCs w:val="24"/>
        </w:rPr>
        <w:br/>
        <w:t>PnL volatility is significantly higher during Fear days, indicating elevated downside risk and greater performance dispersion across traders.</w:t>
      </w:r>
    </w:p>
    <w:p w14:paraId="0443B445" w14:textId="77777777" w:rsidR="00A537AE" w:rsidRPr="00A537AE" w:rsidRDefault="00A537AE" w:rsidP="00A537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Behavior shifts in Greed regimes:</w:t>
      </w:r>
      <w:r w:rsidRPr="00A537AE">
        <w:rPr>
          <w:rFonts w:ascii="Times New Roman" w:hAnsi="Times New Roman" w:cs="Times New Roman"/>
          <w:sz w:val="24"/>
          <w:szCs w:val="24"/>
        </w:rPr>
        <w:br/>
        <w:t>During Greed days, traders increase trade frequency and position size, but win rates do not improve proportionally, suggesting overtrading behavior.</w:t>
      </w:r>
    </w:p>
    <w:p w14:paraId="7CF7B3F6" w14:textId="180790F8" w:rsidR="00A537AE" w:rsidRPr="00A537AE" w:rsidRDefault="00A537AE" w:rsidP="00A537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Risk concentration amplifies losses in Fear markets:</w:t>
      </w:r>
      <w:r w:rsidRPr="00A537AE">
        <w:rPr>
          <w:rFonts w:ascii="Times New Roman" w:hAnsi="Times New Roman" w:cs="Times New Roman"/>
          <w:sz w:val="24"/>
          <w:szCs w:val="24"/>
        </w:rPr>
        <w:br/>
        <w:t>High-volatility (high-risk) traders experience substantially worse outcomes during Fear periods compared to consistent, low-volatility traders.</w:t>
      </w:r>
    </w:p>
    <w:p w14:paraId="45BFDB21" w14:textId="77777777" w:rsidR="00A537AE" w:rsidRPr="00A537AE" w:rsidRDefault="00A537AE" w:rsidP="00A537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37AE">
        <w:rPr>
          <w:rFonts w:ascii="Times New Roman" w:hAnsi="Times New Roman" w:cs="Times New Roman"/>
          <w:b/>
          <w:bCs/>
          <w:sz w:val="26"/>
          <w:szCs w:val="26"/>
        </w:rPr>
        <w:t>Strategy Recommendations</w:t>
      </w:r>
    </w:p>
    <w:p w14:paraId="6C465714" w14:textId="77777777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Strategy Rule 1 — Risk Control in Fear Regimes</w:t>
      </w:r>
    </w:p>
    <w:p w14:paraId="61878F27" w14:textId="77777777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During Fear days, reduce effective leverage for high-volatility traders by limiting position size and trade frequency. Maintain normal exposure only for historically consistent traders to control drawdown risk.</w:t>
      </w:r>
    </w:p>
    <w:p w14:paraId="288BB2CC" w14:textId="77777777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Strategy Rule 2 — Selective Aggression in Greed Regimes</w:t>
      </w:r>
    </w:p>
    <w:p w14:paraId="1256F79B" w14:textId="77777777" w:rsidR="00A537AE" w:rsidRPr="00A537AE" w:rsidRDefault="00A537AE" w:rsidP="00A537AE">
      <w:pPr>
        <w:rPr>
          <w:rFonts w:ascii="Times New Roman" w:hAnsi="Times New Roman" w:cs="Times New Roman"/>
          <w:sz w:val="24"/>
          <w:szCs w:val="24"/>
        </w:rPr>
      </w:pPr>
      <w:r w:rsidRPr="00A537AE">
        <w:rPr>
          <w:rFonts w:ascii="Times New Roman" w:hAnsi="Times New Roman" w:cs="Times New Roman"/>
          <w:sz w:val="24"/>
          <w:szCs w:val="24"/>
        </w:rPr>
        <w:t>During Greed days, increase trade frequency only for frequent traders with strong historical win rates. Cap position size for infrequent or inconsistent traders to prevent overconfidence-driven losses.</w:t>
      </w:r>
    </w:p>
    <w:p w14:paraId="42092E81" w14:textId="77777777" w:rsidR="00A624A6" w:rsidRPr="00A537AE" w:rsidRDefault="00A624A6" w:rsidP="00A537AE">
      <w:pPr>
        <w:rPr>
          <w:rFonts w:ascii="Times New Roman" w:hAnsi="Times New Roman" w:cs="Times New Roman"/>
        </w:rPr>
      </w:pPr>
    </w:p>
    <w:sectPr w:rsidR="00A624A6" w:rsidRPr="00A5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46A8"/>
    <w:multiLevelType w:val="multilevel"/>
    <w:tmpl w:val="96F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1305"/>
    <w:multiLevelType w:val="multilevel"/>
    <w:tmpl w:val="C540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4214C"/>
    <w:multiLevelType w:val="multilevel"/>
    <w:tmpl w:val="1C1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A6A5D"/>
    <w:multiLevelType w:val="multilevel"/>
    <w:tmpl w:val="A19A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988359">
    <w:abstractNumId w:val="0"/>
  </w:num>
  <w:num w:numId="2" w16cid:durableId="480540971">
    <w:abstractNumId w:val="2"/>
  </w:num>
  <w:num w:numId="3" w16cid:durableId="1660303635">
    <w:abstractNumId w:val="3"/>
  </w:num>
  <w:num w:numId="4" w16cid:durableId="113648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4C"/>
    <w:rsid w:val="001D5EB2"/>
    <w:rsid w:val="00620374"/>
    <w:rsid w:val="006E1DEF"/>
    <w:rsid w:val="006F7AF2"/>
    <w:rsid w:val="009F2B98"/>
    <w:rsid w:val="00A537AE"/>
    <w:rsid w:val="00A624A6"/>
    <w:rsid w:val="00B15DEE"/>
    <w:rsid w:val="00D31B55"/>
    <w:rsid w:val="00DC4FF5"/>
    <w:rsid w:val="00E3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DBC7"/>
  <w15:chartTrackingRefBased/>
  <w15:docId w15:val="{F0168457-81F3-4A05-88DD-59FBD06F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SNEHA RAKESH</dc:creator>
  <cp:keywords/>
  <dc:description/>
  <cp:lastModifiedBy>GUPTA SNEHA RAKESH</cp:lastModifiedBy>
  <cp:revision>2</cp:revision>
  <dcterms:created xsi:type="dcterms:W3CDTF">2026-02-04T17:16:00Z</dcterms:created>
  <dcterms:modified xsi:type="dcterms:W3CDTF">2026-02-04T17:16:00Z</dcterms:modified>
</cp:coreProperties>
</file>