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B3C5D"/>
          <w:sz w:val="56"/>
        </w:rPr>
        <w:t>Enterprise Data Modeling &amp;</w:t>
        <w:br/>
        <w:t>Interactive Dashboard Design</w:t>
      </w:r>
    </w:p>
    <w:p>
      <w:pPr>
        <w:spacing w:after="4000"/>
        <w:jc w:val="center"/>
      </w:pPr>
      <w:r>
        <w:rPr>
          <w:i/>
          <w:color w:val="2C7A7B"/>
          <w:sz w:val="28"/>
        </w:rPr>
        <w:t>A Framework for Scalable Architecture and Intuitive UI/UX</w:t>
      </w:r>
    </w:p>
    <w:p>
      <w:pPr>
        <w:jc w:val="center"/>
      </w:pPr>
      <w:r>
        <w:rPr>
          <w:color w:val="718096"/>
          <w:sz w:val="20"/>
        </w:rPr>
        <w:t>Technical Architecture &amp; Design Guidelines Report</w:t>
        <w:br/>
        <w:t>Date: October 2026</w:t>
      </w:r>
    </w:p>
    <w:p>
      <w:r>
        <w:br w:type="page"/>
      </w:r>
    </w:p>
    <w:p>
      <w:pPr>
        <w:pStyle w:val="Heading1"/>
        <w:keepNext/>
        <w:spacing w:before="280" w:after="120"/>
      </w:pPr>
      <w:r>
        <w:rPr>
          <w:rFonts w:ascii="Calibri Light" w:hAnsi="Calibri Light"/>
          <w:b/>
          <w:color w:val="0B3C5D"/>
          <w:sz w:val="36"/>
        </w:rPr>
        <w:t>1. Executive Summary</w:t>
      </w:r>
    </w:p>
    <w:p>
      <w:r>
        <w:t>Modern business intelligence relies on robust backend data architectures tightly coupled with intuitive, low-latency visual analytics. This report details the core principles of strategic data modeling (Dimensional Architecture) and interactive UI/UX dashboard engineering. By decoupling heavy transformational computation from live client-side dashboard filters, organizations can achieve instant dashboard interactions and maintain a single version of truth.</w:t>
      </w:r>
    </w:p>
    <w:p>
      <w:pPr>
        <w:pStyle w:val="Heading1"/>
        <w:keepNext/>
        <w:spacing w:before="280" w:after="120"/>
      </w:pPr>
      <w:r>
        <w:rPr>
          <w:rFonts w:ascii="Calibri Light" w:hAnsi="Calibri Light"/>
          <w:b/>
          <w:color w:val="0B3C5D"/>
          <w:sz w:val="36"/>
        </w:rPr>
        <w:t>2. Modern Data Modeling Foundations</w:t>
      </w:r>
    </w:p>
    <w:p>
      <w:r>
        <w:t>Effective dashboard engineering requires structured data models that optimize read operations. The dimensional modeling approach remains the standard for performance and clarity.</w:t>
      </w:r>
    </w:p>
    <w:p>
      <w:pPr>
        <w:pStyle w:val="Heading2"/>
        <w:keepNext/>
        <w:spacing w:before="280" w:after="120"/>
      </w:pPr>
      <w:r>
        <w:rPr>
          <w:rFonts w:ascii="Calibri Light" w:hAnsi="Calibri Light"/>
          <w:b/>
          <w:color w:val="2C7A7B"/>
          <w:sz w:val="28"/>
        </w:rPr>
        <w:t>2.1 Star Schema vs. Snowflake Schema</w:t>
      </w:r>
    </w:p>
    <w:p>
      <w:r>
        <w:t>In a Star Schema, a centralized fact table connects directly to denormalized dimension tables. The Snowflake Schema normalizes these dimensions, creating nested relationships. For interactive reporting dashboards, the Star Schema is highly preferred due to fewer table joins and dramatically lower analytical engine processing overhead.</w:t>
      </w:r>
    </w:p>
    <w:tbl>
      <w:tblPr>
        <w:tblW w:type="auto" w:w="0"/>
        <w:jc w:val="center"/>
        <w:tblLook w:firstColumn="1" w:firstRow="1" w:lastColumn="0" w:lastRow="0" w:noHBand="0" w:noVBand="1" w:val="04A0"/>
      </w:tblPr>
      <w:tblGrid>
        <w:gridCol w:w="3120"/>
        <w:gridCol w:w="3120"/>
        <w:gridCol w:w="3120"/>
      </w:tblGrid>
      <w:tr>
        <w:tc>
          <w:tcPr>
            <w:tcW w:type="dxa" w:w="3120"/>
            <w:shd w:fill="0B3C5D"/>
            <w:tcMar>
              <w:top w:w="120" w:type="dxa"/>
              <w:bottom w:w="120" w:type="dxa"/>
              <w:left w:w="150" w:type="dxa"/>
              <w:right w:w="150" w:type="dxa"/>
            </w:tcMar>
          </w:tcPr>
          <w:p>
            <w:r>
              <w:rPr>
                <w:b/>
                <w:color w:val="FFFFFF"/>
                <w:sz w:val="21"/>
              </w:rPr>
              <w:t>Architectural Criterion</w:t>
            </w:r>
          </w:p>
        </w:tc>
        <w:tc>
          <w:tcPr>
            <w:tcW w:type="dxa" w:w="3120"/>
            <w:shd w:fill="0B3C5D"/>
            <w:tcMar>
              <w:top w:w="120" w:type="dxa"/>
              <w:bottom w:w="120" w:type="dxa"/>
              <w:left w:w="150" w:type="dxa"/>
              <w:right w:w="150" w:type="dxa"/>
            </w:tcMar>
          </w:tcPr>
          <w:p>
            <w:r>
              <w:rPr>
                <w:b/>
                <w:color w:val="FFFFFF"/>
                <w:sz w:val="21"/>
              </w:rPr>
              <w:t>Star Schema (Preferred)</w:t>
            </w:r>
          </w:p>
        </w:tc>
        <w:tc>
          <w:tcPr>
            <w:tcW w:type="dxa" w:w="3120"/>
            <w:shd w:fill="0B3C5D"/>
            <w:tcMar>
              <w:top w:w="120" w:type="dxa"/>
              <w:bottom w:w="120" w:type="dxa"/>
              <w:left w:w="150" w:type="dxa"/>
              <w:right w:w="150" w:type="dxa"/>
            </w:tcMar>
          </w:tcPr>
          <w:p>
            <w:r>
              <w:rPr>
                <w:b/>
                <w:color w:val="FFFFFF"/>
                <w:sz w:val="21"/>
              </w:rPr>
              <w:t>Snowflake Schema</w:t>
            </w:r>
          </w:p>
        </w:tc>
      </w:tr>
      <w:tr>
        <w:tc>
          <w:tcPr>
            <w:tcW w:type="dxa" w:w="3120"/>
            <w:shd w:fill="FFFFFF"/>
            <w:tcMar>
              <w:top w:w="100" w:type="dxa"/>
              <w:bottom w:w="100" w:type="dxa"/>
              <w:left w:w="150" w:type="dxa"/>
              <w:right w:w="150" w:type="dxa"/>
            </w:tcMar>
          </w:tcPr>
          <w:p>
            <w:pPr>
              <w:spacing w:before="40" w:after="40"/>
            </w:pPr>
            <w:r>
              <w:rPr>
                <w:b/>
              </w:rPr>
              <w:t>Query Performance</w:t>
            </w:r>
          </w:p>
        </w:tc>
        <w:tc>
          <w:tcPr>
            <w:tcW w:type="dxa" w:w="3120"/>
            <w:shd w:fill="FFFFFF"/>
            <w:tcMar>
              <w:top w:w="100" w:type="dxa"/>
              <w:bottom w:w="100" w:type="dxa"/>
              <w:left w:w="150" w:type="dxa"/>
              <w:right w:w="150" w:type="dxa"/>
            </w:tcMar>
          </w:tcPr>
          <w:p>
            <w:pPr>
              <w:spacing w:before="40" w:after="40"/>
            </w:pPr>
            <w:r>
              <w:t>High - Minimal table joins yield rapid aggregation.</w:t>
            </w:r>
          </w:p>
        </w:tc>
        <w:tc>
          <w:tcPr>
            <w:tcW w:type="dxa" w:w="3120"/>
            <w:shd w:fill="FFFFFF"/>
            <w:tcMar>
              <w:top w:w="100" w:type="dxa"/>
              <w:bottom w:w="100" w:type="dxa"/>
              <w:left w:w="150" w:type="dxa"/>
              <w:right w:w="150" w:type="dxa"/>
            </w:tcMar>
          </w:tcPr>
          <w:p>
            <w:pPr>
              <w:spacing w:before="40" w:after="40"/>
            </w:pPr>
            <w:r>
              <w:t>Lower - Multiple multi-layered joins slow query times.</w:t>
            </w:r>
          </w:p>
        </w:tc>
      </w:tr>
      <w:tr>
        <w:tc>
          <w:tcPr>
            <w:tcW w:type="dxa" w:w="3120"/>
            <w:shd w:fill="F7FAFC"/>
            <w:tcMar>
              <w:top w:w="100" w:type="dxa"/>
              <w:bottom w:w="100" w:type="dxa"/>
              <w:left w:w="150" w:type="dxa"/>
              <w:right w:w="150" w:type="dxa"/>
            </w:tcMar>
          </w:tcPr>
          <w:p>
            <w:pPr>
              <w:spacing w:before="40" w:after="40"/>
            </w:pPr>
            <w:r>
              <w:rPr>
                <w:b/>
              </w:rPr>
              <w:t>Data Redundancy</w:t>
            </w:r>
          </w:p>
        </w:tc>
        <w:tc>
          <w:tcPr>
            <w:tcW w:type="dxa" w:w="3120"/>
            <w:shd w:fill="F7FAFC"/>
            <w:tcMar>
              <w:top w:w="100" w:type="dxa"/>
              <w:bottom w:w="100" w:type="dxa"/>
              <w:left w:w="150" w:type="dxa"/>
              <w:right w:w="150" w:type="dxa"/>
            </w:tcMar>
          </w:tcPr>
          <w:p>
            <w:pPr>
              <w:spacing w:before="40" w:after="40"/>
            </w:pPr>
            <w:r>
              <w:t>Higher - Normalized attributes are repeated.</w:t>
            </w:r>
          </w:p>
        </w:tc>
        <w:tc>
          <w:tcPr>
            <w:tcW w:type="dxa" w:w="3120"/>
            <w:shd w:fill="F7FAFC"/>
            <w:tcMar>
              <w:top w:w="100" w:type="dxa"/>
              <w:bottom w:w="100" w:type="dxa"/>
              <w:left w:w="150" w:type="dxa"/>
              <w:right w:w="150" w:type="dxa"/>
            </w:tcMar>
          </w:tcPr>
          <w:p>
            <w:pPr>
              <w:spacing w:before="40" w:after="40"/>
            </w:pPr>
            <w:r>
              <w:t>Low - Fully normalized data structures eliminate duplication.</w:t>
            </w:r>
          </w:p>
        </w:tc>
      </w:tr>
      <w:tr>
        <w:tc>
          <w:tcPr>
            <w:tcW w:type="dxa" w:w="3120"/>
            <w:shd w:fill="FFFFFF"/>
            <w:tcMar>
              <w:top w:w="100" w:type="dxa"/>
              <w:bottom w:w="100" w:type="dxa"/>
              <w:left w:w="150" w:type="dxa"/>
              <w:right w:w="150" w:type="dxa"/>
            </w:tcMar>
          </w:tcPr>
          <w:p>
            <w:pPr>
              <w:spacing w:before="40" w:after="40"/>
            </w:pPr>
            <w:r>
              <w:rPr>
                <w:b/>
              </w:rPr>
              <w:t>Dashboard Maintenance</w:t>
            </w:r>
          </w:p>
        </w:tc>
        <w:tc>
          <w:tcPr>
            <w:tcW w:type="dxa" w:w="3120"/>
            <w:shd w:fill="FFFFFF"/>
            <w:tcMar>
              <w:top w:w="100" w:type="dxa"/>
              <w:bottom w:w="100" w:type="dxa"/>
              <w:left w:w="150" w:type="dxa"/>
              <w:right w:w="150" w:type="dxa"/>
            </w:tcMar>
          </w:tcPr>
          <w:p>
            <w:pPr>
              <w:spacing w:before="40" w:after="40"/>
            </w:pPr>
            <w:r>
              <w:t>Simple - Intuitive for business analysts and filters.</w:t>
            </w:r>
          </w:p>
        </w:tc>
        <w:tc>
          <w:tcPr>
            <w:tcW w:type="dxa" w:w="3120"/>
            <w:shd w:fill="FFFFFF"/>
            <w:tcMar>
              <w:top w:w="100" w:type="dxa"/>
              <w:bottom w:w="100" w:type="dxa"/>
              <w:left w:w="150" w:type="dxa"/>
              <w:right w:w="150" w:type="dxa"/>
            </w:tcMar>
          </w:tcPr>
          <w:p>
            <w:pPr>
              <w:spacing w:before="40" w:after="40"/>
            </w:pPr>
            <w:r>
              <w:t>Complex - Harder to map to direct user selection objects.</w:t>
            </w:r>
          </w:p>
        </w:tc>
      </w:tr>
    </w:tbl>
    <w:p>
      <w:pPr>
        <w:spacing w:after="200"/>
      </w:pPr>
    </w:p>
    <w:p>
      <w:pPr>
        <w:pStyle w:val="Heading2"/>
        <w:keepNext/>
        <w:spacing w:before="280" w:after="120"/>
      </w:pPr>
      <w:r>
        <w:rPr>
          <w:rFonts w:ascii="Calibri Light" w:hAnsi="Calibri Light"/>
          <w:b/>
          <w:color w:val="2C7A7B"/>
          <w:sz w:val="28"/>
        </w:rPr>
        <w:t>2.2 Slowing Changing Dimensions (SCDs)</w:t>
      </w:r>
    </w:p>
    <w:p>
      <w:r>
        <w:t>Managing changing master data over time is critical for historical trend continuity:</w:t>
      </w:r>
    </w:p>
    <w:p>
      <w:pPr>
        <w:pStyle w:val="ListBullet"/>
      </w:pPr>
      <w:r>
        <w:t>• Type 1: Overwrites historical data directly. No history tracked.</w:t>
      </w:r>
    </w:p>
    <w:p>
      <w:pPr>
        <w:pStyle w:val="ListBullet"/>
      </w:pPr>
      <w:r>
        <w:t>• Type 2: Creates a new record with effective start/end dates. Full history tracked.</w:t>
      </w:r>
    </w:p>
    <w:p>
      <w:pPr>
        <w:pStyle w:val="ListBullet"/>
      </w:pPr>
      <w:r>
        <w:t>• Type 3: Appends a 'previous value' column to track only the immediate last state.</w:t>
      </w:r>
    </w:p>
    <w:p>
      <w:pPr>
        <w:pStyle w:val="Heading1"/>
        <w:keepNext/>
        <w:spacing w:before="280" w:after="120"/>
      </w:pPr>
      <w:r>
        <w:rPr>
          <w:rFonts w:ascii="Calibri Light" w:hAnsi="Calibri Light"/>
          <w:b/>
          <w:color w:val="0B3C5D"/>
          <w:sz w:val="36"/>
        </w:rPr>
        <w:t>3. Interactive Dashboard Engineering &amp; UI/UX</w:t>
      </w:r>
    </w:p>
    <w:p>
      <w:r>
        <w:t>Dashboard design must prioritize user cognitive load, ensuring visual elements flow intuitively from high-level summaries down to granular analysis.</w:t>
      </w:r>
    </w:p>
    <w:p>
      <w:pPr>
        <w:pStyle w:val="Heading2"/>
        <w:keepNext/>
        <w:spacing w:before="280" w:after="120"/>
      </w:pPr>
      <w:r>
        <w:rPr>
          <w:rFonts w:ascii="Calibri Light" w:hAnsi="Calibri Light"/>
          <w:b/>
          <w:color w:val="2C7A7B"/>
          <w:sz w:val="28"/>
        </w:rPr>
        <w:t>3.1 Visual Hierarchy &amp; Layout</w:t>
      </w:r>
    </w:p>
    <w:p>
      <w:r>
        <w:t>Adhere to the 'Z-Layout' pattern matching standard tracking habits: top-left holds high-level context (KPI blocks), the center hosts detailed comparative charts (trend analysis), and the bottom/right area hosts multi-attribute operational datagrids.</w:t>
      </w:r>
    </w:p>
    <w:p>
      <w:pPr>
        <w:pStyle w:val="Heading2"/>
        <w:keepNext/>
        <w:spacing w:before="280" w:after="120"/>
      </w:pPr>
      <w:r>
        <w:rPr>
          <w:rFonts w:ascii="Calibri Light" w:hAnsi="Calibri Light"/>
          <w:b/>
          <w:color w:val="2C7A7B"/>
          <w:sz w:val="28"/>
        </w:rPr>
        <w:t>3.2 Performance Optimization Strategies</w:t>
      </w:r>
    </w:p>
    <w:p>
      <w:r>
        <w:t>To deliver sub-second response times on interactive dashboards, engineering teams should execute the following core computational rules:</w:t>
      </w:r>
    </w:p>
    <w:p>
      <w:pPr>
        <w:pStyle w:val="ListNumber"/>
      </w:pPr>
      <w:r>
        <w:t>1. Aggregate Early: Avoid pushing millions of raw records to client browsers; execute data reductions at the data warehouse layer.</w:t>
      </w:r>
    </w:p>
    <w:p>
      <w:pPr>
        <w:pStyle w:val="ListNumber"/>
      </w:pPr>
      <w:r>
        <w:t>2. Materialized Views: Pre-compute complex windowing expressions and metric configurations during off-peak ETL schedules.</w:t>
      </w:r>
    </w:p>
    <w:p>
      <w:pPr>
        <w:pStyle w:val="ListNumber"/>
      </w:pPr>
      <w:r>
        <w:t>3. Columnar Compression: Store reporting datasets in compressed formats (e.g., Parquet, Delta) to optimize disk I/O scan speeds.</w:t>
      </w:r>
    </w:p>
    <w:p>
      <w:pPr>
        <w:pStyle w:val="Heading1"/>
        <w:keepNext/>
        <w:spacing w:before="280" w:after="120"/>
      </w:pPr>
      <w:r>
        <w:rPr>
          <w:rFonts w:ascii="Calibri Light" w:hAnsi="Calibri Light"/>
          <w:b/>
          <w:color w:val="0B3C5D"/>
          <w:sz w:val="36"/>
        </w:rPr>
        <w:t>4. Conclusion &amp; Next Steps</w:t>
      </w:r>
    </w:p>
    <w:p>
      <w:r>
        <w:t>Aligning modern star schema backend topologies with strict layout structures transforms reporting tools from simple passive viewports into scalable diagnostic decision interfaces. Organizations should continuously review model performance and refresh queries to match changing operational dynamics.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