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left"/>
      </w:pPr>
      <w:r>
        <w:rPr>
          <w:b/>
          <w:color w:val="1F4E79"/>
          <w:sz w:val="52"/>
        </w:rPr>
        <w:t>Advanced Data Analytics Methods &amp; Complex Formulas Report</w:t>
      </w:r>
    </w:p>
    <w:p>
      <w:pPr>
        <w:spacing w:after="480"/>
      </w:pPr>
      <w:r>
        <w:rPr>
          <w:i/>
          <w:color w:val="7F7F7F"/>
          <w:sz w:val="26"/>
        </w:rPr>
        <w:t>A Comprehensive Guide to Statistical, Machine Learning, and Analytical Formulations</w:t>
      </w:r>
    </w:p>
    <w:p>
      <w:pPr>
        <w:spacing w:after="720"/>
      </w:pPr>
      <w:r>
        <w:rPr>
          <w:color w:val="7F7F7F"/>
          <w:sz w:val="20"/>
        </w:rPr>
        <w:t>Prepared by: Data Analytics Division</w:t>
        <w:br/>
        <w:t>Date: October 2026</w:t>
      </w:r>
    </w:p>
    <w:p>
      <w:r>
        <w:br w:type="page"/>
      </w:r>
    </w:p>
    <w:p>
      <w:pPr>
        <w:keepNext/>
        <w:spacing w:before="360" w:after="120"/>
      </w:pPr>
      <w:r>
        <w:rPr>
          <w:rFonts w:ascii="Calibri" w:hAnsi="Calibri"/>
          <w:b/>
          <w:color w:val="1F4E79"/>
          <w:sz w:val="36"/>
        </w:rPr>
        <w:t>1. Executive Summary</w:t>
      </w:r>
    </w:p>
    <w:p>
      <w:r>
        <w:t>This technical report outlines the foundational and advanced mathematical models, algorithms, and complex formulas frequently leveraged across modern data analytics methodologies. As data volumes scale, standard descriptive statistics become insufficient. Organizations rely on advanced statistical forecasting, multivariate regression analyses, dimensionality reduction formulas, and probabilistic inference engine methodologies to unlock actionable intelligence. This document serves as a standard reference layout for implementing these technical formulations into codebases and algorithmic workflows.</w:t>
      </w:r>
    </w:p>
    <w:p>
      <w:pPr>
        <w:keepNext/>
        <w:spacing w:before="360" w:after="120"/>
      </w:pPr>
      <w:r>
        <w:rPr>
          <w:rFonts w:ascii="Calibri" w:hAnsi="Calibri"/>
          <w:b/>
          <w:color w:val="1F4E79"/>
          <w:sz w:val="36"/>
        </w:rPr>
        <w:t>2. Time-Series &amp; Statistical Forecasting Formulas</w:t>
      </w:r>
    </w:p>
    <w:p>
      <w:r>
        <w:t>Time-series analytics isolates trends, seasonal variations, and irregular components within systematic data streams. Below are the core formulations for structural predictive modeling:</w:t>
      </w:r>
    </w:p>
    <w:p>
      <w:pPr>
        <w:keepNext/>
        <w:spacing w:before="240" w:after="120"/>
      </w:pPr>
      <w:r>
        <w:rPr>
          <w:rFonts w:ascii="Calibri" w:hAnsi="Calibri"/>
          <w:b/>
          <w:color w:val="2E74B5"/>
          <w:sz w:val="28"/>
        </w:rPr>
        <w:t>2.1 Autoregressive Integrated Moving Average (ARIMA)</w:t>
      </w:r>
    </w:p>
    <w:p>
      <w:r>
        <w:t>The ARIMA(p, d, q) model unifies autoregressive characteristics with moving average errors, structured systematically as:</w:t>
      </w:r>
    </w:p>
    <w:p>
      <w:pPr>
        <w:ind w:left="720"/>
      </w:pPr>
      <w:r>
        <w:rPr>
          <w:b/>
          <w:color w:val="C00000"/>
        </w:rPr>
        <w:t>Δ^d Y_t = c + ɸ_1 Δ^d Y_{t-1} + ... + ɸ_p Δ^d Y_{t-p} + Ɛ_t + θ_1 Ɛ_{t-1} + ... + θ_q Ɛ_{t-q}</w:t>
      </w:r>
    </w:p>
    <w:p>
      <w:r>
        <w:t>Where Δ^d represents the differencing operator of order d, ɸ values indicate autoregressive parameters, θ values denote moving average coefficients, and Ɛ_t represents white noise error at time interval t.</w:t>
      </w:r>
    </w:p>
    <w:p>
      <w:pPr>
        <w:keepNext/>
        <w:spacing w:before="240" w:after="120"/>
      </w:pPr>
      <w:r>
        <w:rPr>
          <w:rFonts w:ascii="Calibri" w:hAnsi="Calibri"/>
          <w:b/>
          <w:color w:val="2E74B5"/>
          <w:sz w:val="28"/>
        </w:rPr>
        <w:t>2.2 Exponential Smoothing (Holt-Winters Method)</w:t>
      </w:r>
    </w:p>
    <w:p>
      <w:r>
        <w:t>For capturing simultaneous trend and seasonality, the multiplicative Holt-Winters method applies triple recursive equations:</w:t>
      </w:r>
    </w:p>
    <w:p>
      <w:pPr>
        <w:ind w:left="720"/>
      </w:pPr>
      <w:r>
        <w:rPr>
          <w:b/>
        </w:rPr>
        <w:t xml:space="preserve">Level (L_t): </w:t>
      </w:r>
      <w:r>
        <w:t>α(Y_t / S_{t-m}) + (1 - α)(L_{t-1} + T_{t-1})</w:t>
        <w:br/>
      </w:r>
      <w:r>
        <w:rPr>
          <w:b/>
        </w:rPr>
        <w:t xml:space="preserve">Trend (T_t): </w:t>
      </w:r>
      <w:r>
        <w:t>β(L_t - L_{t-1}) + (1 - β)T_{t-1}</w:t>
        <w:br/>
      </w:r>
      <w:r>
        <w:rPr>
          <w:b/>
        </w:rPr>
        <w:t xml:space="preserve">Seasonal (S_t): </w:t>
      </w:r>
      <w:r>
        <w:t>γ(Y_t / L_t) + (1 - γ)S_{t-m}</w:t>
      </w:r>
    </w:p>
    <w:p>
      <w:pPr>
        <w:keepNext/>
        <w:spacing w:before="360" w:after="120"/>
      </w:pPr>
      <w:r>
        <w:rPr>
          <w:rFonts w:ascii="Calibri" w:hAnsi="Calibri"/>
          <w:b/>
          <w:color w:val="1F4E79"/>
          <w:sz w:val="36"/>
        </w:rPr>
        <w:t>3. Predictive Analytics &amp; Machine Learning Formulations</w:t>
      </w:r>
    </w:p>
    <w:p>
      <w:pPr>
        <w:keepNext/>
        <w:spacing w:before="240" w:after="120"/>
      </w:pPr>
      <w:r>
        <w:rPr>
          <w:rFonts w:ascii="Calibri" w:hAnsi="Calibri"/>
          <w:b/>
          <w:color w:val="2E74B5"/>
          <w:sz w:val="28"/>
        </w:rPr>
        <w:t>3.1 Multiple Linear Regression &amp; Optimization</w:t>
      </w:r>
    </w:p>
    <w:p>
      <w:r>
        <w:t>Predicting continuous variables using multiple input vectors utilizes ordinary least squares optimization matrix algebra:</w:t>
      </w:r>
    </w:p>
    <w:p>
      <w:pPr>
        <w:ind w:left="720"/>
      </w:pPr>
      <w:r>
        <w:rPr>
          <w:b/>
        </w:rPr>
        <w:t>Y = β_0 + β_1 X_1 + β_2 X_2 + ... + β_k X_k + Ɛ</w:t>
        <w:br/>
        <w:t>Matrix Form: β = (X^T X)^(-1) X^T Y</w:t>
      </w:r>
    </w:p>
    <w:p>
      <w:pPr>
        <w:keepNext/>
        <w:spacing w:before="240" w:after="120"/>
      </w:pPr>
      <w:r>
        <w:rPr>
          <w:rFonts w:ascii="Calibri" w:hAnsi="Calibri"/>
          <w:b/>
          <w:color w:val="2E74B5"/>
          <w:sz w:val="28"/>
        </w:rPr>
        <w:t>3.2 Cost Functions and Regularization (Lasso &amp; Ridge)</w:t>
      </w:r>
    </w:p>
    <w:p>
      <w:r>
        <w:t>To mitigate overfitting in analytical setups, regularization weights are added to the Mean Squared Error (MSE) loss metrics:</w:t>
      </w:r>
    </w:p>
    <w:tbl>
      <w:tblPr>
        <w:tblW w:type="auto" w:w="0"/>
        <w:jc w:val="center"/>
        <w:tblLook w:firstColumn="1" w:firstRow="1" w:lastColumn="0" w:lastRow="0" w:noHBand="0" w:noVBand="1" w:val="04A0"/>
      </w:tblPr>
      <w:tblGrid>
        <w:gridCol w:w="4680"/>
        <w:gridCol w:w="4680"/>
      </w:tblGrid>
      <w:tr>
        <w:tc>
          <w:tcPr>
            <w:tcW w:type="dxa" w:w="4680"/>
            <w:shd w:fill="1F4E79"/>
            <w:tcMar>
              <w:top w:w="140" w:type="dxa"/>
              <w:bottom w:w="140" w:type="dxa"/>
              <w:left w:w="150" w:type="dxa"/>
              <w:right w:w="150" w:type="dxa"/>
            </w:tcMar>
          </w:tcPr>
          <w:p>
            <w:pPr>
              <w:jc w:val="center"/>
            </w:pPr>
            <w:r>
              <w:rPr>
                <w:b/>
                <w:color w:val="FFFFFF"/>
              </w:rPr>
              <w:t>Method / Regularization Style</w:t>
            </w:r>
          </w:p>
        </w:tc>
        <w:tc>
          <w:tcPr>
            <w:tcW w:type="dxa" w:w="4680"/>
            <w:shd w:fill="1F4E79"/>
            <w:tcMar>
              <w:top w:w="140" w:type="dxa"/>
              <w:bottom w:w="140" w:type="dxa"/>
              <w:left w:w="150" w:type="dxa"/>
              <w:right w:w="150" w:type="dxa"/>
            </w:tcMar>
          </w:tcPr>
          <w:p>
            <w:pPr>
              <w:jc w:val="center"/>
            </w:pPr>
            <w:r>
              <w:rPr>
                <w:b/>
                <w:color w:val="FFFFFF"/>
              </w:rPr>
              <w:t>Mathematical Optimization Objective Function</w:t>
            </w:r>
          </w:p>
        </w:tc>
      </w:tr>
      <w:tr>
        <w:tc>
          <w:tcPr>
            <w:tcW w:type="dxa" w:w="4680"/>
            <w:tcMar>
              <w:top w:w="100" w:type="dxa"/>
              <w:bottom w:w="100" w:type="dxa"/>
              <w:left w:w="150" w:type="dxa"/>
              <w:right w:w="150" w:type="dxa"/>
            </w:tcMar>
            <w:vAlign w:val="center"/>
          </w:tcPr>
          <w:p>
            <w:r>
              <w:t>Ridge Regression (L2 Regularization)</w:t>
            </w:r>
          </w:p>
        </w:tc>
        <w:tc>
          <w:tcPr>
            <w:tcW w:type="dxa" w:w="4680"/>
            <w:tcMar>
              <w:top w:w="100" w:type="dxa"/>
              <w:bottom w:w="100" w:type="dxa"/>
              <w:left w:w="150" w:type="dxa"/>
              <w:right w:w="150" w:type="dxa"/>
            </w:tcMar>
            <w:vAlign w:val="center"/>
          </w:tcPr>
          <w:p>
            <w:r>
              <w:t>Minimize: MSE + λ ∑_{j=1}^p (β_j)^2</w:t>
            </w:r>
          </w:p>
        </w:tc>
      </w:tr>
      <w:tr>
        <w:tc>
          <w:tcPr>
            <w:tcW w:type="dxa" w:w="4680"/>
            <w:tcMar>
              <w:top w:w="100" w:type="dxa"/>
              <w:bottom w:w="100" w:type="dxa"/>
              <w:left w:w="150" w:type="dxa"/>
              <w:right w:w="150" w:type="dxa"/>
            </w:tcMar>
            <w:vAlign w:val="center"/>
          </w:tcPr>
          <w:p>
            <w:r>
              <w:t>Lasso Regression (L1 Regularization)</w:t>
            </w:r>
          </w:p>
        </w:tc>
        <w:tc>
          <w:tcPr>
            <w:tcW w:type="dxa" w:w="4680"/>
            <w:tcMar>
              <w:top w:w="100" w:type="dxa"/>
              <w:bottom w:w="100" w:type="dxa"/>
              <w:left w:w="150" w:type="dxa"/>
              <w:right w:w="150" w:type="dxa"/>
            </w:tcMar>
            <w:vAlign w:val="center"/>
          </w:tcPr>
          <w:p>
            <w:r>
              <w:t>Minimize: MSE + λ ∑_{j=1}^p |β_j|</w:t>
            </w:r>
          </w:p>
        </w:tc>
      </w:tr>
    </w:tbl>
    <w:p>
      <w:pPr>
        <w:keepNext/>
        <w:spacing w:before="360" w:after="120"/>
      </w:pPr>
      <w:r>
        <w:rPr>
          <w:rFonts w:ascii="Calibri" w:hAnsi="Calibri"/>
          <w:b/>
          <w:color w:val="1F4E79"/>
          <w:sz w:val="36"/>
        </w:rPr>
        <w:t>4. Dimensionality Reduction &amp; Clustering</w:t>
      </w:r>
    </w:p>
    <w:p>
      <w:pPr>
        <w:keepNext/>
        <w:spacing w:before="240" w:after="120"/>
      </w:pPr>
      <w:r>
        <w:rPr>
          <w:rFonts w:ascii="Calibri" w:hAnsi="Calibri"/>
          <w:b/>
          <w:color w:val="2E74B5"/>
          <w:sz w:val="28"/>
        </w:rPr>
        <w:t>4.1 Principal Component Analysis (PCA)</w:t>
      </w:r>
    </w:p>
    <w:p>
      <w:r>
        <w:t>PCA compresses vast feature sets by identifying high-variance axes. The method computes the empirical covariance matrix ∑ and derives eigenvectors via singular value decomposition:</w:t>
      </w:r>
    </w:p>
    <w:p>
      <w:pPr>
        <w:ind w:left="720"/>
      </w:pPr>
      <w:r>
        <w:rPr>
          <w:b/>
        </w:rPr>
        <w:t>∑ = (1 / n) * X^T * X</w:t>
        <w:br/>
        <w:t>Det(∑ - λI) = 0</w:t>
      </w:r>
    </w:p>
    <w:p>
      <w:pPr>
        <w:keepNext/>
        <w:spacing w:before="240" w:after="120"/>
      </w:pPr>
      <w:r>
        <w:rPr>
          <w:rFonts w:ascii="Calibri" w:hAnsi="Calibri"/>
          <w:b/>
          <w:color w:val="2E74B5"/>
          <w:sz w:val="28"/>
        </w:rPr>
        <w:t>4.2 K-Means Clustering Optimization Metric</w:t>
      </w:r>
    </w:p>
    <w:p>
      <w:r>
        <w:t>Unsupervised data segmentation algorithms minimize the within-cluster sum of squares (WCSS) criterion dynamically:</w:t>
      </w:r>
    </w:p>
    <w:p>
      <w:pPr>
        <w:ind w:left="720"/>
      </w:pPr>
      <w:r>
        <w:rPr>
          <w:b/>
        </w:rPr>
        <w:t>WCSS = ∑_{i=1}^K ∑_{x ∈ S_i} || x - μ_i ||^2</w:t>
      </w:r>
    </w:p>
    <w:p>
      <w:pPr>
        <w:keepNext/>
        <w:spacing w:before="360" w:after="120"/>
      </w:pPr>
      <w:r>
        <w:rPr>
          <w:rFonts w:ascii="Calibri" w:hAnsi="Calibri"/>
          <w:b/>
          <w:color w:val="1F4E79"/>
          <w:sz w:val="36"/>
        </w:rPr>
        <w:t>5. Implementation Guidelines</w:t>
      </w:r>
    </w:p>
    <w:p>
      <w:r>
        <w:t>When building high-throughput quantitative pipelines based on these analytics frameworks, always verify that your data vectors conform to foundational constraints like normality distributions, low multicollinearity, and stationarity features. This ensures that the analytical outcomes match real-world distributions accurately.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