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F497D"/>
          <w:sz w:val="44"/>
        </w:rPr>
        <w:t>WEEK 1 TASK: DATA CLEANING AND PREPARATION STRATEGY</w:t>
      </w:r>
    </w:p>
    <w:p>
      <w:pPr>
        <w:spacing w:after="480"/>
        <w:jc w:val="center"/>
      </w:pPr>
      <w:r>
        <w:rPr>
          <w:i/>
          <w:color w:val="595959"/>
          <w:sz w:val="24"/>
        </w:rPr>
        <w:t>A Comprehensive Architecture for Corporate Data Accuracy and Readiness</w:t>
      </w:r>
    </w:p>
    <w:p>
      <w:pPr>
        <w:spacing w:after="960"/>
        <w:jc w:val="center"/>
      </w:pPr>
      <w:r>
        <w:rPr>
          <w:b/>
          <w:color w:val="262626"/>
          <w:sz w:val="20"/>
        </w:rPr>
        <w:t>Prepared by: Advanced Excel Data Analysis Intern</w:t>
        <w:br/>
        <w:t>Program: Yuva Intern / National Skill Development Corporation (NSDC)</w:t>
      </w:r>
    </w:p>
    <w:p>
      <w:r>
        <w:br w:type="page"/>
      </w:r>
    </w:p>
    <w:p>
      <w:pPr>
        <w:keepNext/>
        <w:spacing w:before="360" w:after="120"/>
      </w:pPr>
      <w:r>
        <w:rPr>
          <w:b/>
          <w:color w:val="1F497D"/>
          <w:sz w:val="32"/>
        </w:rPr>
        <w:t>1. Executive Summary &amp; Project Objective</w:t>
      </w:r>
    </w:p>
    <w:p>
      <w:pPr>
        <w:spacing w:after="120" w:line="276" w:lineRule="auto"/>
      </w:pPr>
      <w:r>
        <w:t>In modern corporate environments, data acts as the primary foundation for tactical and strategic decision-making. However, raw data is rarely pristine. It is inherently prone to processing anomalies, manual typing errors, structure mismatching, and missing parameters. Proceeding directly to statistical modeling or business intelligence visualizations without an exhaustive data auditing phase will reliably lead to flawed analysis, incorrect conclusions, and systemic corporate missteps.</w:t>
      </w:r>
    </w:p>
    <w:p>
      <w:pPr>
        <w:spacing w:after="120" w:line="276" w:lineRule="auto"/>
      </w:pPr>
      <w:r>
        <w:t>This document establishes a comprehensive, standard operating architecture for data cleaning and preparation strategy, specifically customized for enterprise execution within Microsoft Excel. As an Advanced Excel Data Analysis Intern, the core objective of this framework is to establish absolute data integrity, accuracy, uniformity, and analytical readiness. This self-contained operational blueprint covers end-to-end data auditing pipelines, advanced tool mechanics, potential systemic pitfalls, mitigation strategies, and an automotive reference roadmap.</w:t>
      </w:r>
    </w:p>
    <w:p>
      <w:pPr>
        <w:keepNext/>
        <w:spacing w:before="360" w:after="120"/>
      </w:pPr>
      <w:r>
        <w:rPr>
          <w:b/>
          <w:color w:val="1F497D"/>
          <w:sz w:val="32"/>
        </w:rPr>
        <w:t>2. Target Dataset Profiling &amp; Initial Challenges</w:t>
      </w:r>
    </w:p>
    <w:p>
      <w:pPr>
        <w:spacing w:after="120" w:line="276" w:lineRule="auto"/>
      </w:pPr>
      <w:r>
        <w:t>To ground this technical strategy in an authentic operational environment, we evaluate a publicly accessible enterprise dataset: the Global E-Commerce Sales &amp; Supply Chain Performance Dataset. This cross-functional operational tracker aggregates international multi-channel retail logs over a multi-year window, exposing it to extensive human error and system synchronization variances.</w:t>
      </w:r>
    </w:p>
    <w:p>
      <w:pPr>
        <w:keepNext/>
        <w:spacing w:before="240" w:after="80"/>
      </w:pPr>
      <w:r>
        <w:rPr>
          <w:b/>
          <w:color w:val="1F497D"/>
          <w:sz w:val="26"/>
        </w:rPr>
        <w:t>2.1 Baseline Dataset Structure</w:t>
      </w:r>
    </w:p>
    <w:p>
      <w:pPr>
        <w:spacing w:after="120" w:line="276" w:lineRule="auto"/>
      </w:pPr>
      <w:r>
        <w:t>The dataset encompasses approximately 50,000 corporate transactional records across 14 distinct dimensions:</w:t>
      </w:r>
    </w:p>
    <w:p>
      <w:pPr>
        <w:pStyle w:val="ListBullet"/>
        <w:spacing w:after="60" w:line="276" w:lineRule="auto"/>
      </w:pPr>
      <w:r>
        <w:rPr>
          <w:b/>
        </w:rPr>
        <w:t xml:space="preserve">Transaction_ID: </w:t>
      </w:r>
      <w:r>
        <w:t>Unique primary alphanumeric text string identifier.</w:t>
      </w:r>
    </w:p>
    <w:p>
      <w:pPr>
        <w:pStyle w:val="ListBullet"/>
        <w:spacing w:after="60" w:line="276" w:lineRule="auto"/>
      </w:pPr>
      <w:r>
        <w:rPr>
          <w:b/>
        </w:rPr>
        <w:t xml:space="preserve">Order_Date &amp; Ship_Date: </w:t>
      </w:r>
      <w:r>
        <w:t>Transaction logs utilizing mixed text formats and regional localized structures (e.g., MM/DD/YYYY vs DD-MM-YYYY).</w:t>
      </w:r>
    </w:p>
    <w:p>
      <w:pPr>
        <w:pStyle w:val="ListBullet"/>
        <w:spacing w:after="60" w:line="276" w:lineRule="auto"/>
      </w:pPr>
      <w:r>
        <w:rPr>
          <w:b/>
        </w:rPr>
        <w:t xml:space="preserve">Customer_Name &amp; Segment: </w:t>
      </w:r>
      <w:r>
        <w:t>Qualitative strings susceptible to extra padding spaces and casing anomalies.</w:t>
      </w:r>
    </w:p>
    <w:p>
      <w:pPr>
        <w:pStyle w:val="ListBullet"/>
        <w:spacing w:after="60" w:line="276" w:lineRule="auto"/>
      </w:pPr>
      <w:r>
        <w:rPr>
          <w:b/>
        </w:rPr>
        <w:t xml:space="preserve">Country, State, &amp; Postal_Code: </w:t>
      </w:r>
      <w:r>
        <w:t>Spatial location data prone to truncation and missing attributes.</w:t>
      </w:r>
    </w:p>
    <w:p>
      <w:pPr>
        <w:pStyle w:val="ListBullet"/>
        <w:spacing w:after="60" w:line="276" w:lineRule="auto"/>
      </w:pPr>
      <w:r>
        <w:rPr>
          <w:b/>
        </w:rPr>
        <w:t xml:space="preserve">Product_ID &amp; Category: </w:t>
      </w:r>
      <w:r>
        <w:t>Alphanumeric operational stock keys requiring cross-system verification.</w:t>
      </w:r>
    </w:p>
    <w:p>
      <w:pPr>
        <w:pStyle w:val="ListBullet"/>
        <w:spacing w:after="60" w:line="276" w:lineRule="auto"/>
      </w:pPr>
      <w:r>
        <w:rPr>
          <w:b/>
        </w:rPr>
        <w:t xml:space="preserve">Sales_Amount, Quantity, Discount, &amp; Net_Profit: </w:t>
      </w:r>
      <w:r>
        <w:t>Numeric monetary tracking values exhibiting structural data-type flags.</w:t>
      </w:r>
    </w:p>
    <w:p>
      <w:pPr>
        <w:pStyle w:val="ListBullet"/>
        <w:spacing w:after="60" w:line="276" w:lineRule="auto"/>
      </w:pPr>
      <w:r>
        <w:rPr>
          <w:b/>
        </w:rPr>
        <w:t xml:space="preserve">Return_Status: </w:t>
      </w:r>
      <w:r>
        <w:t>Boolean indicator with high volumes of blank rows representing non-returned orders.</w:t>
      </w:r>
    </w:p>
    <w:p>
      <w:pPr>
        <w:keepNext/>
        <w:spacing w:before="240" w:after="80"/>
      </w:pPr>
      <w:r>
        <w:rPr>
          <w:b/>
          <w:color w:val="1F497D"/>
          <w:sz w:val="26"/>
        </w:rPr>
        <w:t>2.2 Anticipated Strategic Challenges &amp; Structural Anomalies</w:t>
      </w:r>
    </w:p>
    <w:p>
      <w:pPr>
        <w:pStyle w:val="ListBullet"/>
        <w:spacing w:after="60" w:line="276" w:lineRule="auto"/>
      </w:pPr>
      <w:r>
        <w:rPr>
          <w:b/>
        </w:rPr>
        <w:t xml:space="preserve">• </w:t>
      </w:r>
      <w:r>
        <w:t>Data-Type Mismatching: Numerical financial vectors (e.g., Sales) containing embedded currency symbols or text markers, forcing Excel to process them as flat text strings, breaking analytical math engines.</w:t>
      </w:r>
    </w:p>
    <w:p>
      <w:pPr>
        <w:pStyle w:val="ListBullet"/>
        <w:spacing w:after="60" w:line="276" w:lineRule="auto"/>
      </w:pPr>
      <w:r>
        <w:rPr>
          <w:b/>
        </w:rPr>
        <w:t xml:space="preserve">• </w:t>
      </w:r>
      <w:r>
        <w:t>Reference Breaks &amp; Inconsistencies: State names containing minor trailing spaces (e.g., 'California ' vs 'California') causing categorical grouping routines to treat them as independent data clusters.</w:t>
      </w:r>
    </w:p>
    <w:p>
      <w:pPr>
        <w:pStyle w:val="ListBullet"/>
        <w:spacing w:after="60" w:line="276" w:lineRule="auto"/>
      </w:pPr>
      <w:r>
        <w:rPr>
          <w:b/>
        </w:rPr>
        <w:t xml:space="preserve">• </w:t>
      </w:r>
      <w:r>
        <w:t>Ambiguous Structural Blanks: Sparse records in Return_Status or Postal_Code creating computational hurdles for aggregation utilities like Pivot Tables.</w:t>
      </w:r>
    </w:p>
    <w:p>
      <w:pPr>
        <w:pStyle w:val="ListBullet"/>
        <w:spacing w:after="60" w:line="276" w:lineRule="auto"/>
      </w:pPr>
      <w:r>
        <w:rPr>
          <w:b/>
        </w:rPr>
        <w:t xml:space="preserve">• </w:t>
      </w:r>
      <w:r>
        <w:t>Temporal Anachronisms: System logging discrepancies causing 'Ship_Date' to chronologically precede 'Order_Date', invalidating downstream processing metrics.</w:t>
      </w:r>
    </w:p>
    <w:p>
      <w:pPr>
        <w:keepNext/>
        <w:spacing w:before="360" w:after="120"/>
      </w:pPr>
      <w:r>
        <w:rPr>
          <w:b/>
          <w:color w:val="1F497D"/>
          <w:sz w:val="32"/>
        </w:rPr>
        <w:t>3. Advanced Tool Arsenal &amp; Functional Blueprint</w:t>
      </w:r>
    </w:p>
    <w:p>
      <w:pPr>
        <w:spacing w:after="120" w:line="276" w:lineRule="auto"/>
      </w:pPr>
      <w:r>
        <w:t>Executing a rigorous cleaning regimen demands deeply leveraging advanced functional layers within Microsoft Excel. We explicitly avoid rudimentary manual editing, opting instead for programmatic, scalable internal features:</w:t>
      </w:r>
    </w:p>
    <w:p>
      <w:pPr>
        <w:keepNext/>
        <w:spacing w:before="240" w:after="80"/>
      </w:pPr>
      <w:r>
        <w:rPr>
          <w:b/>
          <w:color w:val="1F497D"/>
          <w:sz w:val="26"/>
        </w:rPr>
        <w:t>3.1 Text Transformation Mechanics</w:t>
      </w:r>
    </w:p>
    <w:p>
      <w:pPr>
        <w:pStyle w:val="ListBullet"/>
        <w:spacing w:after="60" w:line="276" w:lineRule="auto"/>
      </w:pPr>
      <w:r>
        <w:rPr>
          <w:b/>
        </w:rPr>
        <w:t xml:space="preserve">• </w:t>
      </w:r>
      <w:r>
        <w:t>TRIM Function: Programmatically removes all leading, trailing, and duplicate inner text spacing anomalies.</w:t>
      </w:r>
    </w:p>
    <w:p>
      <w:pPr>
        <w:pStyle w:val="ListBullet"/>
        <w:spacing w:after="60" w:line="276" w:lineRule="auto"/>
      </w:pPr>
      <w:r>
        <w:rPr>
          <w:b/>
        </w:rPr>
        <w:t xml:space="preserve">• </w:t>
      </w:r>
      <w:r>
        <w:t>PROPER, UPPER, LOWER Functions: Restructures qualitative columns into absolute typographical uniformity.</w:t>
      </w:r>
    </w:p>
    <w:p>
      <w:pPr>
        <w:pStyle w:val="ListBullet"/>
        <w:spacing w:after="60" w:line="276" w:lineRule="auto"/>
      </w:pPr>
      <w:r>
        <w:rPr>
          <w:b/>
        </w:rPr>
        <w:t xml:space="preserve">• </w:t>
      </w:r>
      <w:r>
        <w:t>TEXTJOIN &amp; CONCAT: Reconstructs disparate elements into singular atomic operational strings.</w:t>
      </w:r>
    </w:p>
    <w:p>
      <w:pPr>
        <w:pStyle w:val="ListBullet"/>
        <w:spacing w:after="60" w:line="276" w:lineRule="auto"/>
      </w:pPr>
      <w:r>
        <w:rPr>
          <w:b/>
        </w:rPr>
        <w:t xml:space="preserve">• </w:t>
      </w:r>
      <w:r>
        <w:t>Flash Fill &amp; Text-to-Columns: Uses internal pattern recognition engines to parse multi-variable structures without breaking reference integrity.</w:t>
      </w:r>
    </w:p>
    <w:p>
      <w:pPr>
        <w:keepNext/>
        <w:spacing w:before="240" w:after="80"/>
      </w:pPr>
      <w:r>
        <w:rPr>
          <w:b/>
          <w:color w:val="1F497D"/>
          <w:sz w:val="26"/>
        </w:rPr>
        <w:t>3.2 Logical Filtering &amp; Conditional Rules</w:t>
      </w:r>
    </w:p>
    <w:p>
      <w:pPr>
        <w:pStyle w:val="ListBullet"/>
        <w:spacing w:after="60" w:line="276" w:lineRule="auto"/>
      </w:pPr>
      <w:r>
        <w:rPr>
          <w:b/>
        </w:rPr>
        <w:t xml:space="preserve">• </w:t>
      </w:r>
      <w:r>
        <w:t>Conditional Formatting: Employs custom logical rules and formulas to automatically highlight rows exhibiting anomalies like negative profit metrics, duplicate primary keys, or data exceptions.</w:t>
      </w:r>
    </w:p>
    <w:p>
      <w:pPr>
        <w:pStyle w:val="ListBullet"/>
        <w:spacing w:after="60" w:line="276" w:lineRule="auto"/>
      </w:pPr>
      <w:r>
        <w:rPr>
          <w:b/>
        </w:rPr>
        <w:t xml:space="preserve">• </w:t>
      </w:r>
      <w:r>
        <w:t>Data Validation Engines: Implements explicit programmatic constraints on tracking fields to guarantee future operational entries match strict, predetermined domain schemas.</w:t>
      </w:r>
    </w:p>
    <w:p>
      <w:pPr>
        <w:keepNext/>
        <w:spacing w:before="240" w:after="80"/>
      </w:pPr>
      <w:r>
        <w:rPr>
          <w:b/>
          <w:color w:val="1F497D"/>
          <w:sz w:val="26"/>
        </w:rPr>
        <w:t>3.3 Core Advanced Lookup Engines</w:t>
      </w:r>
    </w:p>
    <w:p>
      <w:pPr>
        <w:pStyle w:val="ListBullet"/>
        <w:spacing w:after="60" w:line="276" w:lineRule="auto"/>
      </w:pPr>
      <w:r>
        <w:rPr>
          <w:b/>
        </w:rPr>
        <w:t xml:space="preserve">• </w:t>
      </w:r>
      <w:r>
        <w:t>XLOOKUP Function: Serves as the primary defensive tool against structural data loss, extracting missing categorical attributes safely across diverse index matrices.</w:t>
      </w:r>
    </w:p>
    <w:p>
      <w:pPr>
        <w:pStyle w:val="ListBullet"/>
        <w:spacing w:after="60" w:line="276" w:lineRule="auto"/>
      </w:pPr>
      <w:r>
        <w:rPr>
          <w:b/>
        </w:rPr>
        <w:t xml:space="preserve">• </w:t>
      </w:r>
      <w:r>
        <w:t>INDEX &amp; MATCH Combination: Provides resilient, dynamic, low-overhead lookup matrices that preserve speed over highly scaled enterprise data sheets.</w:t>
      </w:r>
    </w:p>
    <w:p>
      <w:pPr>
        <w:keepNext/>
        <w:spacing w:before="240" w:after="80"/>
      </w:pPr>
      <w:r>
        <w:rPr>
          <w:b/>
          <w:color w:val="1F497D"/>
          <w:sz w:val="26"/>
        </w:rPr>
        <w:t>3.4 The Power Query Automation Core</w:t>
      </w:r>
    </w:p>
    <w:p>
      <w:pPr>
        <w:pStyle w:val="ListBullet"/>
        <w:spacing w:after="60" w:line="276" w:lineRule="auto"/>
      </w:pPr>
      <w:r>
        <w:rPr>
          <w:b/>
        </w:rPr>
        <w:t xml:space="preserve">• </w:t>
      </w:r>
      <w:r>
        <w:t>Acts as a non-destructive Extraction, Transformation, and Loading (ETL) layer. Power Query records each transformation step cleanly, permitting immediate, single-click cleaning updates when raw source sheets change.</w:t>
      </w:r>
    </w:p>
    <w:p>
      <w:pPr>
        <w:keepNext/>
        <w:spacing w:before="360" w:after="120"/>
      </w:pPr>
      <w:r>
        <w:rPr>
          <w:b/>
          <w:color w:val="1F497D"/>
          <w:sz w:val="32"/>
        </w:rPr>
        <w:t>4. The Comprehensive Step-by-Step Data Cleaning Workflow</w:t>
      </w:r>
    </w:p>
    <w:p>
      <w:pPr>
        <w:spacing w:after="120" w:line="276" w:lineRule="auto"/>
      </w:pPr>
      <w:r>
        <w:t>To transform raw, unverified data records into analytical assets, the following granular operational phases must be systematically executed:</w:t>
      </w:r>
    </w:p>
    <w:p>
      <w:pPr>
        <w:keepNext/>
        <w:spacing w:before="240" w:after="80"/>
      </w:pPr>
      <w:r>
        <w:rPr>
          <w:b/>
          <w:color w:val="1F497D"/>
          <w:sz w:val="26"/>
        </w:rPr>
        <w:t>Phase 1: Structural Audit and Data Profiling</w:t>
      </w:r>
    </w:p>
    <w:p>
      <w:pPr>
        <w:spacing w:after="120" w:line="276" w:lineRule="auto"/>
      </w:pPr>
      <w:r>
        <w:t>1. Launch the file in Excel and apply global filters across all tracking headers via Ctrl+Shift+L.</w:t>
      </w:r>
    </w:p>
    <w:p>
      <w:pPr>
        <w:spacing w:after="120" w:line="276" w:lineRule="auto"/>
      </w:pPr>
      <w:r>
        <w:t>2. Execute a visual scan using the Filter Dropdowns to audit for visible outliers, syntax variations, or zero-length entries.</w:t>
      </w:r>
    </w:p>
    <w:p>
      <w:pPr>
        <w:spacing w:after="120" w:line="276" w:lineRule="auto"/>
      </w:pPr>
      <w:r>
        <w:t>3. Check for absolute data type coherence: numeric columns must align right, text dimensions left. Fix any text-formatted numeric vectors immediately using custom formatting formats.</w:t>
      </w:r>
    </w:p>
    <w:p>
      <w:pPr>
        <w:keepNext/>
        <w:spacing w:before="240" w:after="80"/>
      </w:pPr>
      <w:r>
        <w:rPr>
          <w:b/>
          <w:color w:val="1F497D"/>
          <w:sz w:val="26"/>
        </w:rPr>
        <w:t>Phase 2: Deduplication and Primary Key Optimization</w:t>
      </w:r>
    </w:p>
    <w:p>
      <w:pPr>
        <w:spacing w:after="120" w:line="276" w:lineRule="auto"/>
      </w:pPr>
      <w:r>
        <w:t>1. Isolate the target dataset and highlight the entire boundary area.</w:t>
      </w:r>
    </w:p>
    <w:p>
      <w:pPr>
        <w:spacing w:after="120" w:line="276" w:lineRule="auto"/>
      </w:pPr>
      <w:r>
        <w:t>2. Navigate through the Ribbon menu: Data Tab -&gt; Data Tools Group -&gt; Click Remove Duplicates.</w:t>
      </w:r>
    </w:p>
    <w:p>
      <w:pPr>
        <w:spacing w:after="120" w:line="276" w:lineRule="auto"/>
      </w:pPr>
      <w:r>
        <w:t>3. Check ONLY the Transaction_ID box to ensure primary keys are distinct, stripping duplicate entries while preserving the initial system entry record.</w:t>
      </w:r>
    </w:p>
    <w:p>
      <w:pPr>
        <w:keepNext/>
        <w:spacing w:before="240" w:after="80"/>
      </w:pPr>
      <w:r>
        <w:rPr>
          <w:b/>
          <w:color w:val="1F497D"/>
          <w:sz w:val="26"/>
        </w:rPr>
        <w:t>Phase 3: Structural Missing Data Imputation</w:t>
      </w:r>
    </w:p>
    <w:p>
      <w:pPr>
        <w:spacing w:after="120" w:line="276" w:lineRule="auto"/>
      </w:pPr>
      <w:r>
        <w:t>1. Isolate qualitative variables like Customer_Name or Postal_Code.</w:t>
      </w:r>
    </w:p>
    <w:p>
      <w:pPr>
        <w:spacing w:after="120" w:line="276" w:lineRule="auto"/>
      </w:pPr>
      <w:r>
        <w:t>2. Press F5 to trigger the Go To Window -&gt; Select 'Special...' -&gt; Click 'Blanks' to isolate missing records instantly.</w:t>
      </w:r>
    </w:p>
    <w:p>
      <w:pPr>
        <w:spacing w:after="120" w:line="276" w:lineRule="auto"/>
      </w:pPr>
      <w:r>
        <w:t>3. Type standard strings (e.g., 'Unknown' or '99999') and confirm across all isolated cells by pressing Ctrl+Enter simultaneously.</w:t>
      </w:r>
    </w:p>
    <w:p>
      <w:pPr>
        <w:spacing w:after="120" w:line="276" w:lineRule="auto"/>
      </w:pPr>
      <w:r>
        <w:t>4. Wrap advanced arithmetic lookups in defensive logical wrappers to intercept system calculations: =IFERROR(XLOOKUP(A2, Master_Sheet!A:A, Master_Sheet!B:B), "Missing Reference")</w:t>
      </w:r>
    </w:p>
    <w:p>
      <w:pPr>
        <w:keepNext/>
        <w:spacing w:before="240" w:after="80"/>
      </w:pPr>
      <w:r>
        <w:rPr>
          <w:b/>
          <w:color w:val="1F497D"/>
          <w:sz w:val="26"/>
        </w:rPr>
        <w:t>Phase 4: Qualitative Formatting and Text Processing</w:t>
      </w:r>
    </w:p>
    <w:p>
      <w:pPr>
        <w:spacing w:after="120" w:line="276" w:lineRule="auto"/>
      </w:pPr>
      <w:r>
        <w:t>1. Cleanse customer text arrays by inserting an explicit processing column and deploying: =TRIM(PROPER(C2))</w:t>
      </w:r>
    </w:p>
    <w:p>
      <w:pPr>
        <w:spacing w:after="120" w:line="276" w:lineRule="auto"/>
      </w:pPr>
      <w:r>
        <w:t>2. Copy the processed column block, select the target column, and convert the formulas into raw text constants using Paste Special -&gt; Values (Ctrl+Alt+V -&gt; V) to decouple formulas from the final sheet.</w:t>
      </w:r>
    </w:p>
    <w:p>
      <w:pPr>
        <w:keepNext/>
        <w:spacing w:before="240" w:after="80"/>
      </w:pPr>
      <w:r>
        <w:rPr>
          <w:b/>
          <w:color w:val="1F497D"/>
          <w:sz w:val="26"/>
        </w:rPr>
        <w:t>Phase 5: Chronological Coherence and Numeric Formatting</w:t>
      </w:r>
    </w:p>
    <w:p>
      <w:pPr>
        <w:spacing w:after="120" w:line="276" w:lineRule="auto"/>
      </w:pPr>
      <w:r>
        <w:t>1. Convert varied text representations into consistent date serial arrays by applying standard cell formatting options via the Ctrl+1 Formatting Dialog.</w:t>
      </w:r>
    </w:p>
    <w:p>
      <w:pPr>
        <w:spacing w:after="120" w:line="276" w:lineRule="auto"/>
      </w:pPr>
      <w:r>
        <w:t>2. Deploy a logical verification script in an auditing column to flag processing anomalies: =IF(Ship_Date &lt; Order_Date, "Chronological Anachronism Error", "Valid")</w:t>
      </w:r>
    </w:p>
    <w:p>
      <w:pPr>
        <w:spacing w:after="120" w:line="276" w:lineRule="auto"/>
      </w:pPr>
      <w:r>
        <w:t>3. Filter out all 'Error' rows and fix or flag the records for upstream system reviews.</w:t>
      </w:r>
    </w:p>
    <w:p>
      <w:pPr>
        <w:keepNext/>
        <w:spacing w:before="360" w:after="120"/>
      </w:pPr>
      <w:r>
        <w:rPr>
          <w:b/>
          <w:color w:val="1F497D"/>
          <w:sz w:val="32"/>
        </w:rPr>
        <w:t>5. Technical Process Mapping &amp; Architecture</w:t>
      </w:r>
    </w:p>
    <w:p>
      <w:pPr>
        <w:spacing w:after="120" w:line="276" w:lineRule="auto"/>
      </w:pPr>
      <w:r>
        <w:t>The technical workflow is systematically executed across five operational pillars to take data from a raw state to clean production: Raw Source Ingestion -&gt; Structural Verification &amp; Audit -&gt; Primary Key Deduplication Filter -&gt; Missing Value &amp; Function Imputation -&gt; Text &amp; Format Normalization -&gt; Production Ready Export.</w:t>
      </w:r>
    </w:p>
    <w:p>
      <w:pPr>
        <w:keepNext/>
        <w:spacing w:before="360" w:after="120"/>
      </w:pPr>
      <w:r>
        <w:rPr>
          <w:b/>
          <w:color w:val="1F497D"/>
          <w:sz w:val="32"/>
        </w:rPr>
        <w:t>6. Enterprise Data Cleaning Matrix</w:t>
      </w:r>
    </w:p>
    <w:p>
      <w:pPr>
        <w:spacing w:after="120" w:line="276" w:lineRule="auto"/>
      </w:pPr>
      <w:r>
        <w:t>The following structured reference table maps common operational dataset errors to their specific technical fixes and validation methods in Excel:</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color w:val="1F497D"/>
                <w:sz w:val="20"/>
              </w:rPr>
              <w:t>Target Variable</w:t>
            </w:r>
          </w:p>
        </w:tc>
        <w:tc>
          <w:tcPr>
            <w:tcW w:type="dxa" w:w="2340"/>
          </w:tcPr>
          <w:p>
            <w:r>
              <w:rPr>
                <w:b/>
                <w:color w:val="1F497D"/>
                <w:sz w:val="20"/>
              </w:rPr>
              <w:t>Detected Structural Error</w:t>
            </w:r>
          </w:p>
        </w:tc>
        <w:tc>
          <w:tcPr>
            <w:tcW w:type="dxa" w:w="2340"/>
          </w:tcPr>
          <w:p>
            <w:r>
              <w:rPr>
                <w:b/>
                <w:color w:val="1F497D"/>
                <w:sz w:val="20"/>
              </w:rPr>
              <w:t>Advanced Excel Technical Fix</w:t>
            </w:r>
          </w:p>
        </w:tc>
        <w:tc>
          <w:tcPr>
            <w:tcW w:type="dxa" w:w="2340"/>
          </w:tcPr>
          <w:p>
            <w:r>
              <w:rPr>
                <w:b/>
                <w:color w:val="1F497D"/>
                <w:sz w:val="20"/>
              </w:rPr>
              <w:t>Post-Cleaning Validation Method</w:t>
            </w:r>
          </w:p>
        </w:tc>
      </w:tr>
      <w:tr>
        <w:tc>
          <w:tcPr>
            <w:tcW w:type="dxa" w:w="2340"/>
          </w:tcPr>
          <w:p>
            <w:r>
              <w:rPr>
                <w:sz w:val="19"/>
              </w:rPr>
              <w:t>Transaction_ID</w:t>
            </w:r>
          </w:p>
        </w:tc>
        <w:tc>
          <w:tcPr>
            <w:tcW w:type="dxa" w:w="2340"/>
          </w:tcPr>
          <w:p>
            <w:r>
              <w:rPr>
                <w:sz w:val="19"/>
              </w:rPr>
              <w:t>Duplicate keys from system logs.</w:t>
            </w:r>
          </w:p>
        </w:tc>
        <w:tc>
          <w:tcPr>
            <w:tcW w:type="dxa" w:w="2340"/>
          </w:tcPr>
          <w:p>
            <w:r>
              <w:rPr>
                <w:sz w:val="19"/>
              </w:rPr>
              <w:t>Data Tab -&gt; Remove Duplicates on Transaction_ID.</w:t>
            </w:r>
          </w:p>
        </w:tc>
        <w:tc>
          <w:tcPr>
            <w:tcW w:type="dxa" w:w="2340"/>
          </w:tcPr>
          <w:p>
            <w:r>
              <w:rPr>
                <w:sz w:val="19"/>
              </w:rPr>
              <w:t>Conditional Formatting highlighting duplicates count = 0.</w:t>
            </w:r>
          </w:p>
        </w:tc>
      </w:tr>
      <w:tr>
        <w:tc>
          <w:tcPr>
            <w:tcW w:type="dxa" w:w="2340"/>
          </w:tcPr>
          <w:p>
            <w:r>
              <w:rPr>
                <w:sz w:val="19"/>
              </w:rPr>
              <w:t>Customer_Name</w:t>
            </w:r>
          </w:p>
        </w:tc>
        <w:tc>
          <w:tcPr>
            <w:tcW w:type="dxa" w:w="2340"/>
          </w:tcPr>
          <w:p>
            <w:r>
              <w:rPr>
                <w:sz w:val="19"/>
              </w:rPr>
              <w:t>Leading, trailing spaces; mixed text casing.</w:t>
            </w:r>
          </w:p>
        </w:tc>
        <w:tc>
          <w:tcPr>
            <w:tcW w:type="dxa" w:w="2340"/>
          </w:tcPr>
          <w:p>
            <w:r>
              <w:rPr>
                <w:sz w:val="19"/>
              </w:rPr>
              <w:t>=TRIM(PROPER(Cell_Ref)) nested formula conversion.</w:t>
            </w:r>
          </w:p>
        </w:tc>
        <w:tc>
          <w:tcPr>
            <w:tcW w:type="dxa" w:w="2340"/>
          </w:tcPr>
          <w:p>
            <w:r>
              <w:rPr>
                <w:sz w:val="19"/>
              </w:rPr>
              <w:t>Manual visual spot-checking via header filter drop-down arrays.</w:t>
            </w:r>
          </w:p>
        </w:tc>
      </w:tr>
      <w:tr>
        <w:tc>
          <w:tcPr>
            <w:tcW w:type="dxa" w:w="2340"/>
          </w:tcPr>
          <w:p>
            <w:r>
              <w:rPr>
                <w:sz w:val="19"/>
              </w:rPr>
              <w:t>Sales_Amount</w:t>
            </w:r>
          </w:p>
        </w:tc>
        <w:tc>
          <w:tcPr>
            <w:tcW w:type="dxa" w:w="2340"/>
          </w:tcPr>
          <w:p>
            <w:r>
              <w:rPr>
                <w:sz w:val="19"/>
              </w:rPr>
              <w:t>Numbers stored as text strings.</w:t>
            </w:r>
          </w:p>
        </w:tc>
        <w:tc>
          <w:tcPr>
            <w:tcW w:type="dxa" w:w="2340"/>
          </w:tcPr>
          <w:p>
            <w:r>
              <w:rPr>
                <w:sz w:val="19"/>
              </w:rPr>
              <w:t>Multiply text strings by 1 via Paste Special -&gt; Multiply.</w:t>
            </w:r>
          </w:p>
        </w:tc>
        <w:tc>
          <w:tcPr>
            <w:tcW w:type="dxa" w:w="2340"/>
          </w:tcPr>
          <w:p>
            <w:r>
              <w:rPr>
                <w:sz w:val="19"/>
              </w:rPr>
              <w:t>ISNUMBER function evaluates to TRUE across all column rows.</w:t>
            </w:r>
          </w:p>
        </w:tc>
      </w:tr>
      <w:tr>
        <w:tc>
          <w:tcPr>
            <w:tcW w:type="dxa" w:w="2340"/>
          </w:tcPr>
          <w:p>
            <w:r>
              <w:rPr>
                <w:sz w:val="19"/>
              </w:rPr>
              <w:t>Return_Status</w:t>
            </w:r>
          </w:p>
        </w:tc>
        <w:tc>
          <w:tcPr>
            <w:tcW w:type="dxa" w:w="2340"/>
          </w:tcPr>
          <w:p>
            <w:r>
              <w:rPr>
                <w:sz w:val="19"/>
              </w:rPr>
              <w:t>Empty cells creating logical gaps.</w:t>
            </w:r>
          </w:p>
        </w:tc>
        <w:tc>
          <w:tcPr>
            <w:tcW w:type="dxa" w:w="2340"/>
          </w:tcPr>
          <w:p>
            <w:r>
              <w:rPr>
                <w:sz w:val="19"/>
              </w:rPr>
              <w:t>Go To Special -&gt; Blanks -&gt; Impute static value 'Not Returned'.</w:t>
            </w:r>
          </w:p>
        </w:tc>
        <w:tc>
          <w:tcPr>
            <w:tcW w:type="dxa" w:w="2340"/>
          </w:tcPr>
          <w:p>
            <w:r>
              <w:rPr>
                <w:sz w:val="19"/>
              </w:rPr>
              <w:t>Pivot table aggregation summary confirms zero blank cells.</w:t>
            </w:r>
          </w:p>
        </w:tc>
      </w:tr>
    </w:tbl>
    <w:p>
      <w:pPr>
        <w:spacing w:before="240"/>
      </w:pPr>
    </w:p>
    <w:p>
      <w:pPr>
        <w:keepNext/>
        <w:spacing w:before="360" w:after="120"/>
      </w:pPr>
      <w:r>
        <w:rPr>
          <w:b/>
          <w:color w:val="1F497D"/>
          <w:sz w:val="32"/>
        </w:rPr>
        <w:t>7. Potential Systemic Pitfalls &amp; Remediation Protocols</w:t>
      </w:r>
    </w:p>
    <w:p>
      <w:pPr>
        <w:spacing w:after="120" w:line="276" w:lineRule="auto"/>
      </w:pPr>
      <w:r>
        <w:t>Even advanced data manipulation approaches carry inherent structural risks. To preserve data continuity, the following engineering pitfalls must be proactively managed:</w:t>
      </w:r>
    </w:p>
    <w:p>
      <w:pPr>
        <w:keepNext/>
        <w:spacing w:before="240" w:after="80"/>
      </w:pPr>
      <w:r>
        <w:rPr>
          <w:b/>
          <w:color w:val="1F497D"/>
          <w:sz w:val="26"/>
        </w:rPr>
        <w:t>7.1 The Danger of Destructive Over-Cleaning</w:t>
      </w:r>
    </w:p>
    <w:p>
      <w:pPr>
        <w:pStyle w:val="ListBullet"/>
        <w:spacing w:after="60" w:line="276" w:lineRule="auto"/>
      </w:pPr>
      <w:r>
        <w:t>The Risk: Mass deduplication or applying sweeping missing-value updates across multi-variable parameters can accidentally strip out valid customer exceptions or distort genuine baseline data patterns.</w:t>
      </w:r>
    </w:p>
    <w:p>
      <w:pPr>
        <w:pStyle w:val="ListBullet"/>
        <w:spacing w:after="60" w:line="276" w:lineRule="auto"/>
      </w:pPr>
      <w:r>
        <w:t>The Solution: Never execute clean-up workflows directly on live production files. Maintain an unedited, locked 'Raw_Data' archive tab, and establish version control tracking names (e.g., '_v1_Cleaned') before running data transformations.</w:t>
      </w:r>
    </w:p>
    <w:p>
      <w:pPr>
        <w:keepNext/>
        <w:spacing w:before="240" w:after="80"/>
      </w:pPr>
      <w:r>
        <w:rPr>
          <w:b/>
          <w:color w:val="1F497D"/>
          <w:sz w:val="26"/>
        </w:rPr>
        <w:t>7.2 Hardcoding Lookups and Breaking References</w:t>
      </w:r>
    </w:p>
    <w:p>
      <w:pPr>
        <w:pStyle w:val="ListBullet"/>
        <w:spacing w:after="60" w:line="276" w:lineRule="auto"/>
      </w:pPr>
      <w:r>
        <w:t>The Risk: Moving columns or altering worksheets often breaks classic VLOOKUP indexing arrays, resulting in corrupted formula output sheets filled with #REF! errors.</w:t>
      </w:r>
    </w:p>
    <w:p>
      <w:pPr>
        <w:pStyle w:val="ListBullet"/>
        <w:spacing w:after="60" w:line="276" w:lineRule="auto"/>
      </w:pPr>
      <w:r>
        <w:t>The Solution: Avoid obsolete functions. Standardize on XLOOKUP or INDEX+MATCH frameworks, which remain anchored to actual column header arrays regardless of layout movement.</w:t>
      </w:r>
    </w:p>
    <w:p>
      <w:pPr>
        <w:keepNext/>
        <w:spacing w:before="240" w:after="80"/>
      </w:pPr>
      <w:r>
        <w:rPr>
          <w:b/>
          <w:color w:val="1F497D"/>
          <w:sz w:val="26"/>
        </w:rPr>
        <w:t>7.3 Formula Ghosting Performance Bottlenecks</w:t>
      </w:r>
    </w:p>
    <w:p>
      <w:pPr>
        <w:pStyle w:val="ListBullet"/>
        <w:spacing w:after="60" w:line="276" w:lineRule="auto"/>
      </w:pPr>
      <w:r>
        <w:t>The Risk: Leaving millions of complex text cleaning functions running live across large sheets consumes vast amounts of CPU and RAM, regularly causing system freezes.</w:t>
      </w:r>
    </w:p>
    <w:p>
      <w:pPr>
        <w:pStyle w:val="ListBullet"/>
        <w:spacing w:after="60" w:line="276" w:lineRule="auto"/>
      </w:pPr>
      <w:r>
        <w:t>The Solution: Once columns are verified as clean, immediately select the range, copy, and apply Paste Special -&gt; Values to lock the changes into static constants and free up computing memory.</w:t>
      </w:r>
    </w:p>
    <w:p>
      <w:pPr>
        <w:keepNext/>
        <w:spacing w:before="360" w:after="120"/>
      </w:pPr>
      <w:r>
        <w:rPr>
          <w:b/>
          <w:color w:val="1F497D"/>
          <w:sz w:val="32"/>
        </w:rPr>
        <w:t>8. Final Readiness and Verification Checklist</w:t>
      </w:r>
    </w:p>
    <w:p>
      <w:pPr>
        <w:spacing w:after="120" w:line="276" w:lineRule="auto"/>
      </w:pPr>
      <w:r>
        <w:t>Before passing any processed dataset to business intelligence tools or statistical engines, the data analysis team must confirm that the file satisfies the four operational checkpoints of the Enterprise Readiness Checklist:</w:t>
      </w:r>
    </w:p>
    <w:p>
      <w:pPr>
        <w:pStyle w:val="ListBullet"/>
        <w:spacing w:after="60" w:line="276" w:lineRule="auto"/>
      </w:pPr>
      <w:r>
        <w:rPr>
          <w:b/>
        </w:rPr>
        <w:t xml:space="preserve">✔ Zero Formula System Errors: </w:t>
      </w:r>
      <w:r>
        <w:t>Column filters must confirm complete freedom from internal system error breaks (#N/A, #VALUE!, #DIV/0!).</w:t>
      </w:r>
    </w:p>
    <w:p>
      <w:pPr>
        <w:pStyle w:val="ListBullet"/>
        <w:spacing w:after="60" w:line="276" w:lineRule="auto"/>
      </w:pPr>
      <w:r>
        <w:rPr>
          <w:b/>
        </w:rPr>
        <w:t xml:space="preserve">✔ Absolute Character Integrity: </w:t>
      </w:r>
      <w:r>
        <w:t>Text columns must have all hidden, trailing, or double internal whitespaces removed via TRIM validation tests.</w:t>
      </w:r>
    </w:p>
    <w:p>
      <w:pPr>
        <w:pStyle w:val="ListBullet"/>
        <w:spacing w:after="60" w:line="276" w:lineRule="auto"/>
      </w:pPr>
      <w:r>
        <w:rPr>
          <w:b/>
        </w:rPr>
        <w:t xml:space="preserve">✔ Structural Type Uniformity: </w:t>
      </w:r>
      <w:r>
        <w:t>Every entry within a tracking column must share a single, uniform data type schema with no mixed formatting.</w:t>
      </w:r>
    </w:p>
    <w:p>
      <w:pPr>
        <w:pStyle w:val="ListBullet"/>
        <w:spacing w:after="60" w:line="276" w:lineRule="auto"/>
      </w:pPr>
      <w:r>
        <w:rPr>
          <w:b/>
        </w:rPr>
        <w:t xml:space="preserve">✔ Complete Non-Destructive Traceability: </w:t>
      </w:r>
      <w:r>
        <w:t>The workspace must contain an intact, untouched raw data master sheet alongside a documented changelog detailing every transformation rule applied.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