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80"/>
        <w:jc w:val="center"/>
      </w:pPr>
      <w:r>
        <w:rPr>
          <w:rFonts w:ascii="Arial" w:hAnsi="Arial"/>
          <w:b/>
          <w:color w:val="003366"/>
          <w:sz w:val="52"/>
        </w:rPr>
        <w:t>Predictive Analysis &amp; Optimization System Design Blueprint</w:t>
      </w:r>
    </w:p>
    <w:p>
      <w:pPr>
        <w:spacing w:before="0" w:after="120" w:line="276" w:lineRule="auto"/>
      </w:pPr>
      <w:r>
        <w:rPr>
          <w:rFonts w:ascii="Arial" w:hAnsi="Arial"/>
          <w:b w:val="0"/>
          <w:sz w:val="22"/>
        </w:rPr>
        <w:t>This document outlines the system architecture, mathematical methodologies, and implementation paradigms required to seamlessly fuse Machine Learning (ML) forecasting with Mathematical Optimization algorithms.</w:t>
      </w:r>
    </w:p>
    <w:p>
      <w:pPr>
        <w:keepNext/>
        <w:spacing w:before="360" w:after="120"/>
      </w:pPr>
      <w:r>
        <w:rPr>
          <w:rFonts w:ascii="Arial" w:hAnsi="Arial"/>
          <w:b/>
          <w:color w:val="003366"/>
          <w:sz w:val="36"/>
        </w:rPr>
        <w:t>1. Architectural Overview</w:t>
      </w:r>
    </w:p>
    <w:p>
      <w:pPr>
        <w:spacing w:before="0" w:after="120" w:line="276" w:lineRule="auto"/>
      </w:pPr>
      <w:r>
        <w:rPr>
          <w:rFonts w:ascii="Arial" w:hAnsi="Arial"/>
          <w:b w:val="0"/>
          <w:sz w:val="22"/>
        </w:rPr>
        <w:t>Fusing predictive analytics with operational optimization requires a structured data flow. The standard framework consumes historical enterprise features to forecast unknown environment states, which are subsequently passed into a mathematical optimizer bounded by hard business constraints.</w:t>
      </w:r>
    </w:p>
    <w:p>
      <w:pPr>
        <w:spacing w:before="0" w:after="120" w:line="276" w:lineRule="auto"/>
      </w:pPr>
      <w:r>
        <w:rPr>
          <w:rFonts w:ascii="Arial" w:hAnsi="Arial"/>
          <w:b/>
          <w:sz w:val="22"/>
        </w:rPr>
        <w:t>Data Pipeline Architecture Flow:</w:t>
      </w:r>
    </w:p>
    <w:p>
      <w:pPr>
        <w:spacing w:before="120" w:after="120"/>
        <w:ind w:left="360"/>
        <w:shd w:fill="F4F4F4"/>
      </w:pPr>
      <w:r>
        <w:rPr>
          <w:rFonts w:ascii="Consolas" w:hAnsi="Consolas"/>
          <w:color w:val="282828"/>
          <w:sz w:val="20"/>
        </w:rPr>
        <w:t>[Historical Data &amp; Features] -&gt; [Predictive Model (ML/Deep Learning)] -&gt; [Environment State Forecasts]</w:t>
        <w:br/>
        <w:t xml:space="preserve">                                                                         |</w:t>
        <w:br/>
        <w:t xml:space="preserve">                                                                         v</w:t>
        <w:br/>
        <w:t>[Operational Constraints &amp; Boundaries] -&gt; [Prescriptive Optimizer (LP/MILP)] -&gt; [Optimal Strategic Decisions]</w:t>
      </w:r>
    </w:p>
    <w:p>
      <w:pPr>
        <w:keepNext/>
        <w:spacing w:before="360" w:after="120"/>
      </w:pPr>
      <w:r>
        <w:rPr>
          <w:rFonts w:ascii="Arial" w:hAnsi="Arial"/>
          <w:b/>
          <w:color w:val="003366"/>
          <w:sz w:val="36"/>
        </w:rPr>
        <w:t>2. Core Paradigm Comparison</w:t>
      </w:r>
    </w:p>
    <w:p>
      <w:pPr>
        <w:spacing w:before="0" w:after="120" w:line="276" w:lineRule="auto"/>
      </w:pPr>
      <w:r>
        <w:rPr>
          <w:rFonts w:ascii="Arial" w:hAnsi="Arial"/>
          <w:b w:val="0"/>
          <w:sz w:val="22"/>
        </w:rPr>
        <w:t>To effectively design a unified system, it is vital to contrast the operational characteristics of the predictive components against the prescriptive optimization engine:</w:t>
      </w:r>
    </w:p>
    <w:tbl>
      <w:tblPr>
        <w:tblW w:type="auto" w:w="0"/>
        <w:jc w:val="center"/>
        <w:tblLayout w:type="fixed"/>
        <w:tblLook w:firstColumn="1" w:firstRow="1" w:lastColumn="0" w:lastRow="0" w:noHBand="0" w:noVBand="1" w:val="04A0"/>
      </w:tblPr>
      <w:tblGrid>
        <w:gridCol w:w="3120"/>
        <w:gridCol w:w="3120"/>
        <w:gridCol w:w="3120"/>
      </w:tblGrid>
      <w:tr>
        <w:tc>
          <w:tcPr>
            <w:tcW w:type="dxa" w:w="2592"/>
            <w:shd w:fill="003366"/>
            <w:tcMar>
              <w:top w:w="120" w:type="dxa"/>
              <w:bottom w:w="120" w:type="dxa"/>
              <w:left w:w="100" w:type="dxa"/>
              <w:right w:w="100" w:type="dxa"/>
            </w:tcMar>
          </w:tcPr>
          <w:p>
            <w:r>
              <w:rPr>
                <w:b/>
                <w:color w:val="FFFFFF"/>
              </w:rPr>
              <w:t>Design Attribute</w:t>
            </w:r>
          </w:p>
        </w:tc>
        <w:tc>
          <w:tcPr>
            <w:tcW w:type="dxa" w:w="3384"/>
            <w:shd w:fill="003366"/>
            <w:tcMar>
              <w:top w:w="120" w:type="dxa"/>
              <w:bottom w:w="120" w:type="dxa"/>
              <w:left w:w="100" w:type="dxa"/>
              <w:right w:w="100" w:type="dxa"/>
            </w:tcMar>
          </w:tcPr>
          <w:p>
            <w:r>
              <w:rPr>
                <w:b/>
                <w:color w:val="FFFFFF"/>
              </w:rPr>
              <w:t>Predictive System Design</w:t>
            </w:r>
          </w:p>
        </w:tc>
        <w:tc>
          <w:tcPr>
            <w:tcW w:type="dxa" w:w="3384"/>
            <w:shd w:fill="003366"/>
            <w:tcMar>
              <w:top w:w="120" w:type="dxa"/>
              <w:bottom w:w="120" w:type="dxa"/>
              <w:left w:w="100" w:type="dxa"/>
              <w:right w:w="100" w:type="dxa"/>
            </w:tcMar>
          </w:tcPr>
          <w:p>
            <w:r>
              <w:rPr>
                <w:b/>
                <w:color w:val="FFFFFF"/>
              </w:rPr>
              <w:t>Optimization System Design</w:t>
            </w:r>
          </w:p>
        </w:tc>
      </w:tr>
      <w:tr>
        <w:tc>
          <w:tcPr>
            <w:tcW w:type="dxa" w:w="2592"/>
            <w:shd w:fill="F9F9F9"/>
            <w:tcMar>
              <w:top w:w="100" w:type="dxa"/>
              <w:bottom w:w="100" w:type="dxa"/>
              <w:left w:w="100" w:type="dxa"/>
              <w:right w:w="100" w:type="dxa"/>
            </w:tcMar>
          </w:tcPr>
          <w:p>
            <w:r>
              <w:rPr>
                <w:b/>
              </w:rPr>
              <w:t>Primary Objective</w:t>
            </w:r>
          </w:p>
        </w:tc>
        <w:tc>
          <w:tcPr>
            <w:tcW w:type="dxa" w:w="3384"/>
            <w:shd w:fill="F9F9F9"/>
            <w:tcMar>
              <w:top w:w="100" w:type="dxa"/>
              <w:bottom w:w="100" w:type="dxa"/>
              <w:left w:w="100" w:type="dxa"/>
              <w:right w:w="100" w:type="dxa"/>
            </w:tcMar>
          </w:tcPr>
          <w:p>
            <w:r>
              <w:t>Forecast unknown target values or future states under uncertainty.</w:t>
            </w:r>
          </w:p>
        </w:tc>
        <w:tc>
          <w:tcPr>
            <w:tcW w:type="dxa" w:w="3384"/>
            <w:shd w:fill="F9F9F9"/>
            <w:tcMar>
              <w:top w:w="100" w:type="dxa"/>
              <w:bottom w:w="100" w:type="dxa"/>
              <w:left w:w="100" w:type="dxa"/>
              <w:right w:w="100" w:type="dxa"/>
            </w:tcMar>
          </w:tcPr>
          <w:p>
            <w:r>
              <w:t>Identify the single best decision policy maximizing efficiency or profit.</w:t>
            </w:r>
          </w:p>
        </w:tc>
      </w:tr>
      <w:tr>
        <w:tc>
          <w:tcPr>
            <w:tcW w:type="dxa" w:w="2592"/>
            <w:shd w:fill="FFFFFF"/>
            <w:tcMar>
              <w:top w:w="100" w:type="dxa"/>
              <w:bottom w:w="100" w:type="dxa"/>
              <w:left w:w="100" w:type="dxa"/>
              <w:right w:w="100" w:type="dxa"/>
            </w:tcMar>
          </w:tcPr>
          <w:p>
            <w:r>
              <w:rPr>
                <w:b/>
              </w:rPr>
              <w:t>Mathematical Drivers</w:t>
            </w:r>
          </w:p>
        </w:tc>
        <w:tc>
          <w:tcPr>
            <w:tcW w:type="dxa" w:w="3384"/>
            <w:shd w:fill="FFFFFF"/>
            <w:tcMar>
              <w:top w:w="100" w:type="dxa"/>
              <w:bottom w:w="100" w:type="dxa"/>
              <w:left w:w="100" w:type="dxa"/>
              <w:right w:w="100" w:type="dxa"/>
            </w:tcMar>
          </w:tcPr>
          <w:p>
            <w:r>
              <w:t>Loss function minimization (e.g., Cross-Entropy, MSE, Huber Loss).</w:t>
            </w:r>
          </w:p>
        </w:tc>
        <w:tc>
          <w:tcPr>
            <w:tcW w:type="dxa" w:w="3384"/>
            <w:shd w:fill="FFFFFF"/>
            <w:tcMar>
              <w:top w:w="100" w:type="dxa"/>
              <w:bottom w:w="100" w:type="dxa"/>
              <w:left w:w="100" w:type="dxa"/>
              <w:right w:w="100" w:type="dxa"/>
            </w:tcMar>
          </w:tcPr>
          <w:p>
            <w:r>
              <w:t>Objective function maximization/minimization under bounded polyhedron sets.</w:t>
            </w:r>
          </w:p>
        </w:tc>
      </w:tr>
      <w:tr>
        <w:tc>
          <w:tcPr>
            <w:tcW w:type="dxa" w:w="2592"/>
            <w:shd w:fill="F9F9F9"/>
            <w:tcMar>
              <w:top w:w="100" w:type="dxa"/>
              <w:bottom w:w="100" w:type="dxa"/>
              <w:left w:w="100" w:type="dxa"/>
              <w:right w:w="100" w:type="dxa"/>
            </w:tcMar>
          </w:tcPr>
          <w:p>
            <w:r>
              <w:rPr>
                <w:b/>
              </w:rPr>
              <w:t>Primary Output Type</w:t>
            </w:r>
          </w:p>
        </w:tc>
        <w:tc>
          <w:tcPr>
            <w:tcW w:type="dxa" w:w="3384"/>
            <w:shd w:fill="F9F9F9"/>
            <w:tcMar>
              <w:top w:w="100" w:type="dxa"/>
              <w:bottom w:w="100" w:type="dxa"/>
              <w:left w:w="100" w:type="dxa"/>
              <w:right w:w="100" w:type="dxa"/>
            </w:tcMar>
          </w:tcPr>
          <w:p>
            <w:r>
              <w:t>Continuous values, probability distributions, or categorical classes.</w:t>
            </w:r>
          </w:p>
        </w:tc>
        <w:tc>
          <w:tcPr>
            <w:tcW w:type="dxa" w:w="3384"/>
            <w:shd w:fill="F9F9F9"/>
            <w:tcMar>
              <w:top w:w="100" w:type="dxa"/>
              <w:bottom w:w="100" w:type="dxa"/>
              <w:left w:w="100" w:type="dxa"/>
              <w:right w:w="100" w:type="dxa"/>
            </w:tcMar>
          </w:tcPr>
          <w:p>
            <w:r>
              <w:t>Deterministic optimal decision coordinates and active constraints matrix.</w:t>
            </w:r>
          </w:p>
        </w:tc>
      </w:tr>
      <w:tr>
        <w:tc>
          <w:tcPr>
            <w:tcW w:type="dxa" w:w="2592"/>
            <w:shd w:fill="FFFFFF"/>
            <w:tcMar>
              <w:top w:w="100" w:type="dxa"/>
              <w:bottom w:w="100" w:type="dxa"/>
              <w:left w:w="100" w:type="dxa"/>
              <w:right w:w="100" w:type="dxa"/>
            </w:tcMar>
          </w:tcPr>
          <w:p>
            <w:r>
              <w:rPr>
                <w:b/>
              </w:rPr>
              <w:t>Methodology Spectrum</w:t>
            </w:r>
          </w:p>
        </w:tc>
        <w:tc>
          <w:tcPr>
            <w:tcW w:type="dxa" w:w="3384"/>
            <w:shd w:fill="FFFFFF"/>
            <w:tcMar>
              <w:top w:w="100" w:type="dxa"/>
              <w:bottom w:w="100" w:type="dxa"/>
              <w:left w:w="100" w:type="dxa"/>
              <w:right w:w="100" w:type="dxa"/>
            </w:tcMar>
          </w:tcPr>
          <w:p>
            <w:r>
              <w:t>XGBoost, LightGBM, Random Forests, LSTMs, Transformers.</w:t>
            </w:r>
          </w:p>
        </w:tc>
        <w:tc>
          <w:tcPr>
            <w:tcW w:type="dxa" w:w="3384"/>
            <w:shd w:fill="FFFFFF"/>
            <w:tcMar>
              <w:top w:w="100" w:type="dxa"/>
              <w:bottom w:w="100" w:type="dxa"/>
              <w:left w:w="100" w:type="dxa"/>
              <w:right w:w="100" w:type="dxa"/>
            </w:tcMar>
          </w:tcPr>
          <w:p>
            <w:r>
              <w:t>Linear Programming (LP), Mixed-Integer Linear Programming (MILP), Metaheuristics.</w:t>
            </w:r>
          </w:p>
        </w:tc>
      </w:tr>
    </w:tbl>
    <w:p>
      <w:pPr>
        <w:keepNext/>
        <w:spacing w:before="360" w:after="120"/>
      </w:pPr>
      <w:r>
        <w:rPr>
          <w:rFonts w:ascii="Arial" w:hAnsi="Arial"/>
          <w:b/>
          <w:color w:val="003366"/>
          <w:sz w:val="36"/>
        </w:rPr>
        <w:t>3. Advanced Coupling Strategies</w:t>
      </w:r>
    </w:p>
    <w:p>
      <w:pPr>
        <w:spacing w:before="0" w:after="120" w:line="276" w:lineRule="auto"/>
      </w:pPr>
      <w:r>
        <w:rPr>
          <w:rFonts w:ascii="Arial" w:hAnsi="Arial"/>
          <w:b w:val="0"/>
          <w:sz w:val="22"/>
        </w:rPr>
        <w:t>When building these architectures, system designers must select an integration model based on how tightly the forecasting components interact with the constraint satisfaction layer.</w:t>
      </w:r>
    </w:p>
    <w:p>
      <w:pPr>
        <w:keepNext/>
        <w:spacing w:before="280" w:after="80"/>
      </w:pPr>
      <w:r>
        <w:rPr>
          <w:rFonts w:ascii="Arial" w:hAnsi="Arial"/>
          <w:b/>
          <w:color w:val="708090"/>
          <w:sz w:val="28"/>
        </w:rPr>
        <w:t>3.1 Sequential Execution (Predict-then-Optimize)</w:t>
      </w:r>
    </w:p>
    <w:p>
      <w:pPr>
        <w:spacing w:before="0" w:after="120" w:line="276" w:lineRule="auto"/>
      </w:pPr>
      <w:r>
        <w:rPr>
          <w:rFonts w:ascii="Arial" w:hAnsi="Arial"/>
          <w:b w:val="0"/>
          <w:sz w:val="22"/>
        </w:rPr>
        <w:t>The traditional model decoupled into two separate operations. A predictive model is trained using purely statistical metrics. The resultant static point forecasts are then mapped directly as fixed coefficients within the matrix constraints or objective vectors of the optimization layer. While simple, this approach risks sub-optimal downstream performance if the ML model minimizes errors in features that do not heavily impact constraint bottlenecks.</w:t>
      </w:r>
    </w:p>
    <w:p>
      <w:pPr>
        <w:keepNext/>
        <w:spacing w:before="280" w:after="80"/>
      </w:pPr>
      <w:r>
        <w:rPr>
          <w:rFonts w:ascii="Arial" w:hAnsi="Arial"/>
          <w:b/>
          <w:color w:val="708090"/>
          <w:sz w:val="28"/>
        </w:rPr>
        <w:t>3.2 Decision-Focused Learning (End-to-End System Design)</w:t>
      </w:r>
    </w:p>
    <w:p>
      <w:pPr>
        <w:spacing w:before="0" w:after="120" w:line="276" w:lineRule="auto"/>
      </w:pPr>
      <w:r>
        <w:rPr>
          <w:rFonts w:ascii="Arial" w:hAnsi="Arial"/>
          <w:b w:val="0"/>
          <w:sz w:val="22"/>
        </w:rPr>
        <w:t>An advanced paradigm where the predictive model's internal loss function is updated to incorporate the downstream optimization error. By taking the derivative of the optimal optimization solution with respect to the input predictions (often using differentiable optimization layers like OptNet), the ML component learns to maximize predictive fidelity specifically around active constraint boundaries.</w:t>
      </w:r>
    </w:p>
    <w:p>
      <w:pPr>
        <w:keepNext/>
        <w:spacing w:before="280" w:after="80"/>
      </w:pPr>
      <w:r>
        <w:rPr>
          <w:rFonts w:ascii="Arial" w:hAnsi="Arial"/>
          <w:b/>
          <w:color w:val="708090"/>
          <w:sz w:val="28"/>
        </w:rPr>
        <w:t>3.3 Scenario-Based Stochastic Optimization</w:t>
      </w:r>
    </w:p>
    <w:p>
      <w:pPr>
        <w:spacing w:before="0" w:after="120" w:line="276" w:lineRule="auto"/>
      </w:pPr>
      <w:r>
        <w:rPr>
          <w:rFonts w:ascii="Arial" w:hAnsi="Arial"/>
          <w:b w:val="0"/>
          <w:sz w:val="22"/>
        </w:rPr>
        <w:t>Rather than outputting a single point forecast, the predictive model outputs an ensemble probability distribution. The optimizer evaluates decisions across thousands of simulated parallel futures simultaneously, yielding a policy that minimizes expected operational risk across all predicted scenarios.</w:t>
      </w:r>
    </w:p>
    <w:p>
      <w:pPr>
        <w:keepNext/>
        <w:spacing w:before="360" w:after="120"/>
      </w:pPr>
      <w:r>
        <w:rPr>
          <w:rFonts w:ascii="Arial" w:hAnsi="Arial"/>
          <w:b/>
          <w:color w:val="003366"/>
          <w:sz w:val="36"/>
        </w:rPr>
        <w:t>4. Tactical Implementation Roadmap</w:t>
      </w:r>
    </w:p>
    <w:p>
      <w:pPr>
        <w:pStyle w:val="ListBullet"/>
        <w:spacing w:before="0" w:after="80" w:line="276" w:lineRule="auto"/>
      </w:pPr>
      <w:r>
        <w:rPr>
          <w:rFonts w:ascii="Arial" w:hAnsi="Arial"/>
          <w:sz w:val="22"/>
        </w:rPr>
        <w:t>Phase 1: Metric and Constraint Formalization - Map company objectives to clear mathematical metrics. Isolate bottlenecks like physical asset throughput, absolute capital budgets, and resource limits.</w:t>
      </w:r>
    </w:p>
    <w:p>
      <w:pPr>
        <w:pStyle w:val="ListBullet"/>
        <w:spacing w:before="0" w:after="80" w:line="276" w:lineRule="auto"/>
      </w:pPr>
      <w:r>
        <w:rPr>
          <w:rFonts w:ascii="Arial" w:hAnsi="Arial"/>
          <w:sz w:val="22"/>
        </w:rPr>
        <w:t>Phase 2: Predictive Engine Engineering - Clean historical feature sets, handle missing values, and construct robust validation slices to train structural models (e.g., LightGBM, neural networks) to map unseen environmental conditions.</w:t>
      </w:r>
    </w:p>
    <w:p>
      <w:pPr>
        <w:pStyle w:val="ListBullet"/>
        <w:spacing w:before="0" w:after="80" w:line="276" w:lineRule="auto"/>
      </w:pPr>
      <w:r>
        <w:rPr>
          <w:rFonts w:ascii="Arial" w:hAnsi="Arial"/>
          <w:sz w:val="22"/>
        </w:rPr>
        <w:t>Phase 3: Mathematical Formulation - Declare decision variables, objective weights, and algebraic inequality constraints using abstract algebraic modeling systems like Pyomo or PuLP.</w:t>
      </w:r>
    </w:p>
    <w:p>
      <w:pPr>
        <w:pStyle w:val="ListBullet"/>
        <w:spacing w:before="0" w:after="80" w:line="276" w:lineRule="auto"/>
      </w:pPr>
      <w:r>
        <w:rPr>
          <w:rFonts w:ascii="Arial" w:hAnsi="Arial"/>
          <w:sz w:val="22"/>
        </w:rPr>
        <w:t>Phase 4: Sensitivity Testing &amp; Shadow Deployment - Execute stress testing by fluctuating predictive uncertainty bounds to observe decision policy drift before pushing the integrated loops live.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