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003366"/>
        </w:rPr>
        <w:t>AWS CloudOps Competency Audit</w:t>
      </w:r>
    </w:p>
    <w:p>
      <w:pPr>
        <w:jc w:val="center"/>
      </w:pPr>
      <w:r>
        <w:rPr>
          <w:color w:val="003366"/>
          <w:sz w:val="32"/>
        </w:rPr>
        <w:t>Franciscan Solutions – FinOps Transformation</w:t>
      </w:r>
    </w:p>
    <w:p>
      <w:pPr>
        <w:jc w:val="center"/>
      </w:pPr>
      <w:r>
        <w:rPr>
          <w:color w:val="505050"/>
          <w:sz w:val="26"/>
        </w:rPr>
        <w:t>Full Presentation Script (30–45 Minutes)</w:t>
      </w:r>
    </w:p>
    <w:p/>
    <w:p/>
    <w:p>
      <w:pPr>
        <w:jc w:val="center"/>
      </w:pPr>
      <w:r>
        <w:rPr>
          <w:color w:val="646464"/>
          <w:sz w:val="22"/>
        </w:rPr>
        <w:t>Presenter: Mist Avinya Technologies LLP</w:t>
        <w:br/>
        <w:t>AWS Advanced Tier Partner</w:t>
        <w:br/>
        <w:t>AWS Partner Network (APN)</w:t>
        <w:br/>
        <w:t>Competency Application: AWS CloudOps Competency – FinOps / CFM Category</w:t>
      </w:r>
    </w:p>
    <w:p>
      <w:pPr>
        <w:jc w:val="center"/>
      </w:pPr>
      <w:r>
        <w:rPr>
          <w:color w:val="646464"/>
          <w:sz w:val="22"/>
        </w:rPr>
        <w:t>Date: March 2026</w:t>
      </w:r>
    </w:p>
    <w:p>
      <w:r>
        <w:br w:type="page"/>
      </w:r>
    </w:p>
    <w:p>
      <w:pPr>
        <w:pStyle w:val="Heading1"/>
      </w:pPr>
      <w:r>
        <w:rPr>
          <w:color w:val="003366"/>
        </w:rPr>
        <w:t>SECTION 1: OPENING &amp; INTRODUCTIONS (3–4 Minutes)</w:t>
      </w:r>
    </w:p>
    <w:p>
      <w:r>
        <w:rPr>
          <w:b/>
          <w:color w:val="808080"/>
          <w:sz w:val="20"/>
        </w:rPr>
        <w:t>[Speaker Notes]</w:t>
      </w:r>
    </w:p>
    <w:p>
      <w:pPr>
        <w:spacing w:after="120"/>
      </w:pPr>
      <w:r>
        <w:t>"Good morning/afternoon. Thank you for taking the time to meet with us today. My name is [Presenter Name], and I represent Mist Avinya Technologies LLP. We are an AWS Advanced Tier Partner headquartered in Noida, Uttar Pradesh, with a team of 15+ AWS-certified professionals across delivery, sales, marketing, and operations.</w:t>
      </w:r>
    </w:p>
    <w:p>
      <w:pPr>
        <w:spacing w:after="120"/>
      </w:pPr>
      <w:r>
        <w:t>We hold the EKS Service Delivery Program certification and 2 Specializations in the Pipeline program. Our practice is built exclusively on AWS — we do not operate on any other cloud. That singular focus gives us deep expertise across security, migration, managed services, and cost optimization.</w:t>
      </w:r>
    </w:p>
    <w:p>
      <w:pPr>
        <w:spacing w:after="120"/>
      </w:pPr>
      <w:r>
        <w:t>Today, I will walk you through our engagement with Franciscan Solutions — an EdTech company — where we delivered a comprehensive FinOps Transformation under the AWS CloudOps Competency, specifically the Cloud Financial Management (CFM) category.</w:t>
      </w:r>
    </w:p>
    <w:p>
      <w:pPr>
        <w:spacing w:after="120"/>
      </w:pPr>
      <w:r>
        <w:t>I will cover:</w:t>
      </w:r>
    </w:p>
    <w:p>
      <w:pPr>
        <w:pStyle w:val="ListBullet"/>
        <w:spacing w:after="40"/>
      </w:pPr>
      <w:r>
        <w:t>Who Franciscan Solutions is and the challenges they faced</w:t>
      </w:r>
    </w:p>
    <w:p>
      <w:pPr>
        <w:pStyle w:val="ListBullet"/>
        <w:spacing w:after="40"/>
      </w:pPr>
      <w:r>
        <w:t>Our methodology and how we structured the engagement</w:t>
      </w:r>
    </w:p>
    <w:p>
      <w:pPr>
        <w:pStyle w:val="ListBullet"/>
        <w:spacing w:after="40"/>
      </w:pPr>
      <w:r>
        <w:t>The AWS services and tools we deployed</w:t>
      </w:r>
    </w:p>
    <w:p>
      <w:pPr>
        <w:pStyle w:val="ListBullet"/>
        <w:spacing w:after="40"/>
      </w:pPr>
      <w:r>
        <w:t>The governance and enforcement mechanisms we put in place</w:t>
      </w:r>
    </w:p>
    <w:p>
      <w:pPr>
        <w:pStyle w:val="ListBullet"/>
        <w:spacing w:after="40"/>
      </w:pPr>
      <w:r>
        <w:t>The measurable outcomes and business impact we delivered</w:t>
      </w:r>
    </w:p>
    <w:p>
      <w:pPr>
        <w:pStyle w:val="ListBullet"/>
        <w:spacing w:after="40"/>
      </w:pPr>
      <w:r>
        <w:t>The formal project sign-off and acceptance</w:t>
      </w:r>
    </w:p>
    <w:p>
      <w:pPr>
        <w:spacing w:after="120"/>
      </w:pPr>
      <w:r>
        <w:t>Let's begin."</w:t>
      </w:r>
    </w:p>
    <w:p>
      <w:pPr>
        <w:spacing w:before="120" w:after="120"/>
      </w:pPr>
      <w:r>
        <w:rPr>
          <w:color w:val="C8C8C8"/>
        </w:rPr>
        <w:t>────────────────────────────────────────────────────────────────────────────────</w:t>
      </w:r>
    </w:p>
    <w:p>
      <w:pPr>
        <w:pStyle w:val="Heading1"/>
      </w:pPr>
      <w:r>
        <w:rPr>
          <w:color w:val="003366"/>
        </w:rPr>
        <w:t>SECTION 2: CUSTOMER PROFILE &amp; BUSINESS CONTEXT (3–4 Minutes)</w:t>
      </w:r>
    </w:p>
    <w:p>
      <w:r>
        <w:rPr>
          <w:b/>
          <w:color w:val="808080"/>
          <w:sz w:val="20"/>
        </w:rPr>
        <w:t>[Speaker Notes]</w:t>
      </w:r>
    </w:p>
    <w:p>
      <w:pPr>
        <w:spacing w:after="120"/>
      </w:pPr>
      <w:r>
        <w:t>"Franciscan Solutions is an Education Technology provider that operates digital learning platforms and student management systems. They run a multi-region AWS deployment across Production, Non-Production, and Shared Services accounts.</w:t>
      </w:r>
    </w:p>
    <w:p>
      <w:pPr>
        <w:spacing w:after="120"/>
      </w:pPr>
      <w:r>
        <w:t>Their business is inherently seasonal — they experience massive traffic and cost spikes during admission periods and examination cycles. This seasonality made their AWS spend highly unpredictable.</w:t>
      </w:r>
    </w:p>
    <w:p>
      <w:pPr>
        <w:spacing w:after="120"/>
      </w:pPr>
      <w:r>
        <w:t>Before our engagement, Franciscan was operating in a reactive cost management posture. There were no proactive mechanisms to anticipate or manage cost fluctuations. The engagement type was a full FinOps Transformation — not a one-time review, but a structured program to embed financial operations into their cloud operating model.</w:t>
      </w:r>
    </w:p>
    <w:p>
      <w:pPr>
        <w:spacing w:after="120"/>
      </w:pPr>
      <w:r>
        <w:t>The engagement was formally governed by a Statement of Work, and the project was signed off and accepted on August 29, 2025."</w:t>
      </w:r>
    </w:p>
    <w:p>
      <w:pPr>
        <w:spacing w:before="120" w:after="120"/>
      </w:pPr>
      <w:r>
        <w:rPr>
          <w:color w:val="C8C8C8"/>
        </w:rPr>
        <w:t>────────────────────────────────────────────────────────────────────────────────</w:t>
      </w:r>
    </w:p>
    <w:p>
      <w:pPr>
        <w:pStyle w:val="Heading1"/>
      </w:pPr>
      <w:r>
        <w:rPr>
          <w:color w:val="003366"/>
        </w:rPr>
        <w:t>SECTION 3: CHALLENGES IDENTIFIED (4–5 Minutes)</w:t>
      </w:r>
    </w:p>
    <w:p>
      <w:r>
        <w:rPr>
          <w:b/>
          <w:color w:val="808080"/>
          <w:sz w:val="20"/>
        </w:rPr>
        <w:t>[Speaker Notes]</w:t>
      </w:r>
    </w:p>
    <w:p>
      <w:pPr>
        <w:spacing w:after="120"/>
      </w:pPr>
      <w:r>
        <w:t>"Let me walk you through the specific challenges we identified during our discovery phase. These were not assumptions — they were documented findings from our requirements gathering workshops with Franciscan's Engineering, Finance, and Infrastructure teams.</w:t>
      </w:r>
    </w:p>
    <w:p>
      <w:pPr>
        <w:spacing w:after="80"/>
      </w:pPr>
      <w:r>
        <w:rPr>
          <w:b/>
        </w:rPr>
        <w:t xml:space="preserve">1. Unpredictable Seasonal Spikes: </w:t>
      </w:r>
      <w:r>
        <w:t>Franciscan experienced massive cost increases during admission periods and exam cycles. There was no forecasting model in place to anticipate these spikes, which meant budgets were consistently blown.</w:t>
      </w:r>
    </w:p>
    <w:p>
      <w:pPr>
        <w:spacing w:after="80"/>
      </w:pPr>
      <w:r>
        <w:rPr>
          <w:b/>
        </w:rPr>
        <w:t xml:space="preserve">2. Reactive Cost Management: </w:t>
      </w:r>
      <w:r>
        <w:t>There were no proactive mechanisms — no alerts, no anomaly detection, no budget guardrails. The team only discovered overspend after the billing cycle closed.</w:t>
      </w:r>
    </w:p>
    <w:p>
      <w:pPr>
        <w:spacing w:after="80"/>
      </w:pPr>
      <w:r>
        <w:rPr>
          <w:b/>
        </w:rPr>
        <w:t xml:space="preserve">3. Limited Cost Visibility: </w:t>
      </w:r>
      <w:r>
        <w:t>The team could not identify granular cost drivers across different services, accounts, or business units. They lacked the dashboards and reporting to understand where money was going.</w:t>
      </w:r>
    </w:p>
    <w:p>
      <w:pPr>
        <w:spacing w:after="80"/>
      </w:pPr>
      <w:r>
        <w:rPr>
          <w:b/>
        </w:rPr>
        <w:t xml:space="preserve">4. Poor Cost Allocation: </w:t>
      </w:r>
      <w:r>
        <w:t>There was no clear attribution of costs to specific cost centers. Academic departments, administrative functions, and shared infrastructure costs were all blended together with no way to separate them.</w:t>
      </w:r>
    </w:p>
    <w:p>
      <w:pPr>
        <w:spacing w:after="80"/>
      </w:pPr>
      <w:r>
        <w:rPr>
          <w:b/>
        </w:rPr>
        <w:t xml:space="preserve">5. Inconsistent Tagging — Only 58% Tag Compliance: </w:t>
      </w:r>
      <w:r>
        <w:t>This is a critical number. At 58% tag compliance, nearly half of their resources were untaggable for cost allocation. You cannot run FinOps without tagging. This was the foundational problem.</w:t>
      </w:r>
    </w:p>
    <w:p>
      <w:pPr>
        <w:spacing w:after="80"/>
      </w:pPr>
      <w:r>
        <w:rPr>
          <w:b/>
        </w:rPr>
        <w:t xml:space="preserve">6. No Unit Economics: </w:t>
      </w:r>
      <w:r>
        <w:t>Franciscan could not calculate their cost-per-student, specifically the Cost-per-DAU (Daily Active User). Without unit economics, they had no way to tie cloud spend to business value.</w:t>
      </w:r>
    </w:p>
    <w:p>
      <w:pPr>
        <w:spacing w:after="80"/>
      </w:pPr>
      <w:r>
        <w:rPr>
          <w:b/>
        </w:rPr>
        <w:t xml:space="preserve">7. Multi-Account Complexity: </w:t>
      </w:r>
      <w:r>
        <w:t>Costs were spread across Production, Non-Production, and Shared Services accounts with no consolidated view or governance structure.</w:t>
      </w:r>
    </w:p>
    <w:p>
      <w:pPr>
        <w:spacing w:after="80"/>
      </w:pPr>
      <w:r>
        <w:rPr>
          <w:b/>
        </w:rPr>
        <w:t xml:space="preserve">8. Lack of Policy Enforcement: </w:t>
      </w:r>
      <w:r>
        <w:t>There were no automated mechanisms to enforce tagging standards, spending limits, or governance policies. Everything was manual and inconsistent."</w:t>
      </w:r>
    </w:p>
    <w:p>
      <w:pPr>
        <w:spacing w:before="120" w:after="120"/>
      </w:pPr>
      <w:r>
        <w:rPr>
          <w:color w:val="C8C8C8"/>
        </w:rPr>
        <w:t>────────────────────────────────────────────────────────────────────────────────</w:t>
      </w:r>
    </w:p>
    <w:p>
      <w:pPr>
        <w:pStyle w:val="Heading1"/>
      </w:pPr>
      <w:r>
        <w:rPr>
          <w:color w:val="003366"/>
        </w:rPr>
        <w:t>SECTION 4: OUR METHODOLOGY — THE FINOPS FRAMEWORK (5–6 Minutes)</w:t>
      </w:r>
    </w:p>
    <w:p>
      <w:r>
        <w:rPr>
          <w:b/>
          <w:color w:val="808080"/>
          <w:sz w:val="20"/>
        </w:rPr>
        <w:t>[Speaker Notes]</w:t>
      </w:r>
    </w:p>
    <w:p>
      <w:pPr>
        <w:spacing w:after="120"/>
      </w:pPr>
      <w:r>
        <w:t>"Our approach to Franciscan was built on the FinOps Foundation framework — Inform, Optimize, Operate. This is a structured 3-phase methodology that we apply consistently across all our CFM engagements.</w:t>
      </w:r>
    </w:p>
    <w:p>
      <w:pPr>
        <w:pStyle w:val="Heading2"/>
      </w:pPr>
      <w:r>
        <w:rPr>
          <w:color w:val="333333"/>
        </w:rPr>
        <w:t>Phase 1 — INFORM</w:t>
      </w:r>
    </w:p>
    <w:p>
      <w:pPr>
        <w:spacing w:after="120"/>
      </w:pPr>
      <w:r>
        <w:t>The first step was establishing visibility.</w:t>
      </w:r>
    </w:p>
    <w:p>
      <w:pPr>
        <w:pStyle w:val="ListBullet"/>
        <w:spacing w:after="40"/>
      </w:pPr>
      <w:r>
        <w:t>Configured AWS Cost &amp; Usage Reports (CUR) with hourly granularity and resource-level detail</w:t>
      </w:r>
    </w:p>
    <w:p>
      <w:pPr>
        <w:pStyle w:val="ListBullet"/>
        <w:spacing w:after="40"/>
      </w:pPr>
      <w:r>
        <w:t>Integrated CUR data into our Aquila Cloud FinOps Platform for AI-driven cost analysis</w:t>
      </w:r>
    </w:p>
    <w:p>
      <w:pPr>
        <w:pStyle w:val="ListBullet"/>
        <w:spacing w:after="40"/>
      </w:pPr>
      <w:r>
        <w:t>Built custom Amazon QuickSight dashboards for cost visualization and unit economics tracking</w:t>
      </w:r>
    </w:p>
    <w:p>
      <w:pPr>
        <w:pStyle w:val="ListBullet"/>
        <w:spacing w:after="40"/>
      </w:pPr>
      <w:r>
        <w:t>Set up budget alerts and anomaly detection so the team would know immediately when spend deviated from forecast</w:t>
      </w:r>
    </w:p>
    <w:p>
      <w:pPr>
        <w:pStyle w:val="Heading2"/>
      </w:pPr>
      <w:r>
        <w:rPr>
          <w:color w:val="333333"/>
        </w:rPr>
        <w:t>Phase 2 — OPTIMIZE</w:t>
      </w:r>
    </w:p>
    <w:p>
      <w:pPr>
        <w:spacing w:after="120"/>
      </w:pPr>
      <w:r>
        <w:t>With visibility in place, we moved to optimization.</w:t>
      </w:r>
    </w:p>
    <w:p>
      <w:pPr>
        <w:pStyle w:val="ListBullet"/>
        <w:spacing w:after="40"/>
      </w:pPr>
      <w:r>
        <w:t>Conducted Well-Architected FinOps reviews</w:t>
      </w:r>
    </w:p>
    <w:p>
      <w:pPr>
        <w:pStyle w:val="ListBullet"/>
        <w:spacing w:after="40"/>
      </w:pPr>
      <w:r>
        <w:t>Performed instance family optimization — migrating workloads to cost-effective instance types based on actual utilization data</w:t>
      </w:r>
    </w:p>
    <w:p>
      <w:pPr>
        <w:pStyle w:val="ListBullet"/>
        <w:spacing w:after="40"/>
      </w:pPr>
      <w:r>
        <w:t>Built seasonal forecasting models using ML-based approaches that accounted for admission and exam cycles</w:t>
      </w:r>
    </w:p>
    <w:p>
      <w:pPr>
        <w:pStyle w:val="ListBullet"/>
        <w:spacing w:after="40"/>
      </w:pPr>
      <w:r>
        <w:t>Implemented commitment-based pricing through Savings Plans, increasing coverage from 18% to 72% with 98% utilization</w:t>
      </w:r>
    </w:p>
    <w:p>
      <w:pPr>
        <w:pStyle w:val="ListBullet"/>
        <w:spacing w:after="40"/>
      </w:pPr>
      <w:r>
        <w:t>Identified and eliminated idle, unattached, and orphaned resources</w:t>
      </w:r>
    </w:p>
    <w:p>
      <w:pPr>
        <w:pStyle w:val="Heading2"/>
      </w:pPr>
      <w:r>
        <w:rPr>
          <w:color w:val="333333"/>
        </w:rPr>
        <w:t>Phase 3 — OPERATE</w:t>
      </w:r>
    </w:p>
    <w:p>
      <w:pPr>
        <w:spacing w:after="120"/>
      </w:pPr>
      <w:r>
        <w:t>The final phase was about making this sustainable.</w:t>
      </w:r>
    </w:p>
    <w:p>
      <w:pPr>
        <w:pStyle w:val="ListBullet"/>
        <w:spacing w:after="40"/>
      </w:pPr>
      <w:r>
        <w:t>Established a monthly business review cadence</w:t>
      </w:r>
    </w:p>
    <w:p>
      <w:pPr>
        <w:pStyle w:val="ListBullet"/>
        <w:spacing w:after="40"/>
      </w:pPr>
      <w:r>
        <w:t>Aligned a Cloud Center of Excellence (CCoE) with tagging standards and budget guardrails</w:t>
      </w:r>
    </w:p>
    <w:p>
      <w:pPr>
        <w:pStyle w:val="ListBullet"/>
        <w:spacing w:after="40"/>
      </w:pPr>
      <w:r>
        <w:t>Set up real-time cost dashboards via QuickSight</w:t>
      </w:r>
    </w:p>
    <w:p>
      <w:pPr>
        <w:pStyle w:val="ListBullet"/>
        <w:spacing w:after="40"/>
      </w:pPr>
      <w:r>
        <w:t>Implemented cost allocation rules and naming conventions</w:t>
      </w:r>
    </w:p>
    <w:p>
      <w:pPr>
        <w:pStyle w:val="ListBullet"/>
        <w:spacing w:after="40"/>
      </w:pPr>
      <w:r>
        <w:t>Delivered 3 deep-dive training sessions to the Engineering and Finance teams covering the CCoE operating model</w:t>
      </w:r>
    </w:p>
    <w:p>
      <w:pPr>
        <w:spacing w:after="120"/>
      </w:pPr>
      <w:r>
        <w:t>This is not a one-and-done engagement. The Operate phase ensures Franciscan can continue running FinOps independently after our formal engagement concludes."</w:t>
      </w:r>
    </w:p>
    <w:p>
      <w:pPr>
        <w:spacing w:before="120" w:after="120"/>
      </w:pPr>
      <w:r>
        <w:rPr>
          <w:color w:val="C8C8C8"/>
        </w:rPr>
        <w:t>────────────────────────────────────────────────────────────────────────────────</w:t>
      </w:r>
    </w:p>
    <w:p>
      <w:pPr>
        <w:pStyle w:val="Heading1"/>
      </w:pPr>
      <w:r>
        <w:rPr>
          <w:color w:val="003366"/>
        </w:rPr>
        <w:t>SECTION 5: AWS SERVICES &amp; TOOLS DEPLOYED (4–5 Minutes)</w:t>
      </w:r>
    </w:p>
    <w:p>
      <w:r>
        <w:rPr>
          <w:b/>
          <w:color w:val="808080"/>
          <w:sz w:val="20"/>
        </w:rPr>
        <w:t>[Speaker Notes]</w:t>
      </w:r>
    </w:p>
    <w:p>
      <w:pPr>
        <w:spacing w:after="120"/>
      </w:pPr>
      <w:r>
        <w:t>"Let me detail the specific AWS services and tools we deployed for this engagement.</w:t>
      </w:r>
    </w:p>
    <w:p>
      <w:pPr>
        <w:spacing w:after="80"/>
      </w:pPr>
      <w:r>
        <w:rPr>
          <w:b/>
        </w:rPr>
        <w:t xml:space="preserve">AWS Cost &amp; Usage Report (CUR): </w:t>
      </w:r>
      <w:r>
        <w:t>Configured with hourly granularity and resource-level detail. This is the foundational data source for all cost analysis. CUR data feeds into both our Aquila Cloud platform and native AWS tools.</w:t>
      </w:r>
    </w:p>
    <w:p>
      <w:pPr>
        <w:spacing w:after="80"/>
      </w:pPr>
      <w:r>
        <w:rPr>
          <w:b/>
        </w:rPr>
        <w:t xml:space="preserve">AWS Organizations: </w:t>
      </w:r>
      <w:r>
        <w:t>Used for centralized management and consolidated billing. This gave us volume discounts and a single pane of glass for multi-account governance.</w:t>
      </w:r>
    </w:p>
    <w:p>
      <w:pPr>
        <w:spacing w:after="80"/>
      </w:pPr>
      <w:r>
        <w:rPr>
          <w:b/>
        </w:rPr>
        <w:t xml:space="preserve">AWS Budgets: </w:t>
      </w:r>
      <w:r>
        <w:t>Configured budget alerts with thresholds tied to Franciscan's fiscal planning. Alerts are sent via email and integrated with a third-party webhook for ITSM/chat notifications — meeting the requirement for at least two notification channels.</w:t>
      </w:r>
    </w:p>
    <w:p>
      <w:pPr>
        <w:spacing w:after="80"/>
      </w:pPr>
      <w:r>
        <w:rPr>
          <w:b/>
        </w:rPr>
        <w:t xml:space="preserve">Amazon QuickSight: </w:t>
      </w:r>
      <w:r>
        <w:t>Custom dashboards for cost visualization, unit economics tracking, and executive reporting. These dashboards show cost-per-DAU, service-level breakdowns, and trend analysis.</w:t>
      </w:r>
    </w:p>
    <w:p>
      <w:pPr>
        <w:spacing w:after="80"/>
      </w:pPr>
      <w:r>
        <w:rPr>
          <w:b/>
        </w:rPr>
        <w:t xml:space="preserve">AWS Cost Explorer: </w:t>
      </w:r>
      <w:r>
        <w:t>Used for historical cost trend analysis, predictive cost estimates, and spend forecasting. The tool shows both previous spend and forecast spend side by side.</w:t>
      </w:r>
    </w:p>
    <w:p>
      <w:pPr>
        <w:spacing w:after="80"/>
      </w:pPr>
      <w:r>
        <w:rPr>
          <w:b/>
        </w:rPr>
        <w:t xml:space="preserve">AWS Compute Optimizer: </w:t>
      </w:r>
      <w:r>
        <w:t>Used for EC2 and RDS right-sizing recommendations based on actual instance utilization — CPU, IOPS, and throughput metrics.</w:t>
      </w:r>
    </w:p>
    <w:p>
      <w:pPr>
        <w:spacing w:after="80"/>
      </w:pPr>
      <w:r>
        <w:rPr>
          <w:b/>
        </w:rPr>
        <w:t xml:space="preserve">AWS Config: </w:t>
      </w:r>
      <w:r>
        <w:t>Deployed managed and custom Config Rules for continuous compliance scanning. We use the required-tags managed rule to check if EC2 instances and S3 buckets have mandatory cost-center and application-id tags.</w:t>
      </w:r>
    </w:p>
    <w:p>
      <w:pPr>
        <w:spacing w:after="80"/>
      </w:pPr>
      <w:r>
        <w:rPr>
          <w:b/>
        </w:rPr>
        <w:t xml:space="preserve">AWS Organizations Tag Policies &amp; SCPs: </w:t>
      </w:r>
      <w:r>
        <w:t>Tag Policies enforce allowed tag keys and permitted values. SCPs provide hard blocks — for example, denying ec2:RunInstances if mandatory tags are missing.</w:t>
      </w:r>
    </w:p>
    <w:p>
      <w:pPr>
        <w:spacing w:after="80"/>
      </w:pPr>
      <w:r>
        <w:rPr>
          <w:b/>
        </w:rPr>
        <w:t xml:space="preserve">Aquila Cloud FinOps Platform: </w:t>
      </w:r>
      <w:r>
        <w:t>Our proprietary platform integrated with CUR for AI-driven cost analysis, anomaly detection, optimization recommendations, and automated reporting. This platform provides the dashboards for tag compliance, right-sizing, orphaned resource identification, EBS GP2-to-GP3 migration tracking, RI/SP utilization, and cost anomaly detection."</w:t>
      </w:r>
    </w:p>
    <w:p>
      <w:pPr>
        <w:spacing w:before="120" w:after="120"/>
      </w:pPr>
      <w:r>
        <w:rPr>
          <w:color w:val="C8C8C8"/>
        </w:rPr>
        <w:t>────────────────────────────────────────────────────────────────────────────────</w:t>
      </w:r>
    </w:p>
    <w:p>
      <w:pPr>
        <w:pStyle w:val="Heading1"/>
      </w:pPr>
      <w:r>
        <w:rPr>
          <w:color w:val="003366"/>
        </w:rPr>
        <w:t>SECTION 6: GOVERNANCE &amp; ENFORCEMENT (5–6 Minutes)</w:t>
      </w:r>
    </w:p>
    <w:p>
      <w:r>
        <w:rPr>
          <w:b/>
          <w:color w:val="808080"/>
          <w:sz w:val="20"/>
        </w:rPr>
        <w:t>[Speaker Notes]</w:t>
      </w:r>
    </w:p>
    <w:p>
      <w:pPr>
        <w:spacing w:after="120"/>
      </w:pPr>
      <w:r>
        <w:t>"Governance was the backbone of this engagement. Without enforcement, tagging and cost policies are just suggestions. Here is exactly what we implemented.</w:t>
      </w:r>
    </w:p>
    <w:p>
      <w:pPr>
        <w:pStyle w:val="Heading2"/>
      </w:pPr>
      <w:r>
        <w:rPr>
          <w:color w:val="333333"/>
        </w:rPr>
        <w:t>Tagging Strategy</w:t>
      </w:r>
    </w:p>
    <w:p>
      <w:pPr>
        <w:spacing w:after="120"/>
      </w:pPr>
      <w:r>
        <w:t>We implemented 4 mandatory cost allocation tags enforced via AWS Organizations Service Control Policies. The tags include application_id, cost_center, client_id, and environment. These were defined in a formal Tag Dictionary with approved values.</w:t>
      </w:r>
    </w:p>
    <w:p>
      <w:pPr>
        <w:pStyle w:val="Heading2"/>
      </w:pPr>
      <w:r>
        <w:rPr>
          <w:color w:val="333333"/>
        </w:rPr>
        <w:t>Preventative Controls</w:t>
      </w:r>
    </w:p>
    <w:p>
      <w:pPr>
        <w:pStyle w:val="ListBullet"/>
        <w:spacing w:after="40"/>
      </w:pPr>
      <w:r>
        <w:rPr>
          <w:b/>
        </w:rPr>
        <w:t>within Organizations define allowed tag keys and permitted values. If a resource is created with a tag value outside the approved list, it is flagged.</w:t>
      </w:r>
      <w:r>
        <w:t xml:space="preserve">AWS Tag Policies </w:t>
      </w:r>
    </w:p>
    <w:p>
      <w:pPr>
        <w:pStyle w:val="ListBullet"/>
        <w:spacing w:after="40"/>
      </w:pPr>
      <w:r>
        <w:rPr>
          <w:b/>
        </w:rPr>
        <w:t>deny resource creation if mandatory tags are missing. This is a hard block — no exceptions.</w:t>
      </w:r>
      <w:r>
        <w:t xml:space="preserve">Service Control Policies (SCPs) </w:t>
      </w:r>
    </w:p>
    <w:p>
      <w:pPr>
        <w:pStyle w:val="ListBullet"/>
        <w:spacing w:after="40"/>
      </w:pPr>
      <w:r>
        <w:rPr>
          <w:b/>
        </w:rPr>
        <w:t>with condition keys like aws:RequestTag/environment force developers to apply tags at creation time.</w:t>
      </w:r>
      <w:r>
        <w:t xml:space="preserve">IAM Policies </w:t>
      </w:r>
    </w:p>
    <w:p>
      <w:pPr>
        <w:pStyle w:val="ListBullet"/>
        <w:spacing w:after="40"/>
      </w:pPr>
      <w:r>
        <w:rPr>
          <w:b/>
        </w:rPr>
        <w:t>— we added validation steps using AWS CloudFormation Guard and Checkov that fail the pipeline if IaC templates are missing required tags. Compliance is enforced before deployment, not after.</w:t>
      </w:r>
      <w:r>
        <w:t xml:space="preserve">CI/CD Pipeline Integration </w:t>
      </w:r>
    </w:p>
    <w:p>
      <w:pPr>
        <w:pStyle w:val="Heading2"/>
      </w:pPr>
      <w:r>
        <w:rPr>
          <w:color w:val="333333"/>
        </w:rPr>
        <w:t>Detective Controls</w:t>
      </w:r>
    </w:p>
    <w:p>
      <w:pPr>
        <w:pStyle w:val="ListBullet"/>
        <w:spacing w:after="40"/>
      </w:pPr>
      <w:r>
        <w:rPr>
          <w:b/>
        </w:rPr>
        <w:t>continuously scan the environment for non-compliant resources.</w:t>
      </w:r>
      <w:r>
        <w:t xml:space="preserve">AWS Config Rules </w:t>
      </w:r>
    </w:p>
    <w:p>
      <w:pPr>
        <w:pStyle w:val="ListBullet"/>
        <w:spacing w:after="40"/>
      </w:pPr>
      <w:r>
        <w:rPr>
          <w:b/>
        </w:rPr>
        <w:t>provide real-time views of untagged resources across all regions.</w:t>
      </w:r>
      <w:r>
        <w:t xml:space="preserve">AWS Resource Groups &amp; Tag Editor </w:t>
      </w:r>
    </w:p>
    <w:p>
      <w:pPr>
        <w:pStyle w:val="ListBullet"/>
        <w:spacing w:after="40"/>
      </w:pPr>
      <w:r>
        <w:rPr>
          <w:b/>
        </w:rPr>
        <w:t>— when Config detects a non-compliant resource, EventBridge triggers a Lambda function that either auto-applies a default tag (e.g., cost-center: unassigned) or notifies the resource owner.</w:t>
      </w:r>
      <w:r>
        <w:t xml:space="preserve">Custom automation using Amazon EventBridge and AWS Lambda </w:t>
      </w:r>
    </w:p>
    <w:p>
      <w:pPr>
        <w:pStyle w:val="Heading2"/>
      </w:pPr>
      <w:r>
        <w:rPr>
          <w:color w:val="333333"/>
        </w:rPr>
        <w:t>Tag Compliance Result</w:t>
      </w:r>
    </w:p>
    <w:p>
      <w:pPr>
        <w:spacing w:after="120"/>
      </w:pPr>
      <w:r>
        <w:t>We moved Franciscan from 58% tag compliance to 96% across all mandatory tags. The Aquila Cloud dashboard tracks Total Tagged Resources, Untagged Resources, and Tagging Coverage by Account — giving full visibility into compliance posture.</w:t>
      </w:r>
    </w:p>
    <w:p>
      <w:pPr>
        <w:pStyle w:val="Heading2"/>
      </w:pPr>
      <w:r>
        <w:rPr>
          <w:color w:val="333333"/>
        </w:rPr>
        <w:t>Tag Clean-Up</w:t>
      </w:r>
    </w:p>
    <w:p>
      <w:pPr>
        <w:spacing w:after="120"/>
      </w:pPr>
      <w:r>
        <w:t>We also ran a tag clean-up initiative to identify resources with invalid tags — tags that did not conform to the naming schema — and remediated them."</w:t>
      </w:r>
    </w:p>
    <w:p>
      <w:pPr>
        <w:spacing w:before="120" w:after="120"/>
      </w:pPr>
      <w:r>
        <w:rPr>
          <w:color w:val="C8C8C8"/>
        </w:rPr>
        <w:t>────────────────────────────────────────────────────────────────────────────────</w:t>
      </w:r>
    </w:p>
    <w:p>
      <w:pPr>
        <w:pStyle w:val="Heading1"/>
      </w:pPr>
      <w:r>
        <w:rPr>
          <w:color w:val="003366"/>
        </w:rPr>
        <w:t>SECTION 7: COST OPTIMIZATION — SPECIFIC ACTIONS TAKEN (5–6 Minutes)</w:t>
      </w:r>
    </w:p>
    <w:p>
      <w:r>
        <w:rPr>
          <w:b/>
          <w:color w:val="808080"/>
          <w:sz w:val="20"/>
        </w:rPr>
        <w:t>[Speaker Notes]</w:t>
      </w:r>
    </w:p>
    <w:p>
      <w:pPr>
        <w:spacing w:after="120"/>
      </w:pPr>
      <w:r>
        <w:t>"Let me walk through the specific optimization actions we executed and the evidence behind each.</w:t>
      </w:r>
    </w:p>
    <w:p>
      <w:pPr>
        <w:spacing w:after="80"/>
      </w:pPr>
      <w:r>
        <w:rPr>
          <w:b/>
        </w:rPr>
        <w:t xml:space="preserve">1. Right-Sizing: </w:t>
      </w:r>
      <w:r>
        <w:t>We used AWS Compute Optimizer and Aquila Cloud to generate right-sizing recommendations based on actual utilization. For example, we identified instances running as t3.xlarge that could be downsized based on CPU utilization, IOPS, and throughput metrics. Each recommendation includes quantified potential savings per year.</w:t>
      </w:r>
    </w:p>
    <w:p>
      <w:pPr>
        <w:spacing w:after="80"/>
      </w:pPr>
      <w:r>
        <w:rPr>
          <w:b/>
        </w:rPr>
        <w:t xml:space="preserve">2. Orphaned &amp; Idle Resource Cleanup: </w:t>
      </w:r>
      <w:r>
        <w:t>We identified unattached EBS volumes, idle EC2 instances, and orphaned resources. The Aquila Cloud dashboard shows the total number of unused resources, their cost over the last 30 days, and the total potential savings from cleanup.</w:t>
      </w:r>
    </w:p>
    <w:p>
      <w:pPr>
        <w:spacing w:after="80"/>
      </w:pPr>
      <w:r>
        <w:rPr>
          <w:b/>
        </w:rPr>
        <w:t xml:space="preserve">3. EBS GP2 to GP3 Migration: </w:t>
      </w:r>
      <w:r>
        <w:t>We identified 2,056 GP2 volumes eligible for migration to GP3. GP3 provides better performance at lower cost. The dashboard quantifies the potential savings per year from this migration alone.</w:t>
      </w:r>
    </w:p>
    <w:p>
      <w:pPr>
        <w:spacing w:after="80"/>
      </w:pPr>
      <w:r>
        <w:rPr>
          <w:b/>
        </w:rPr>
        <w:t xml:space="preserve">4. Snapshot Management: </w:t>
      </w:r>
      <w:r>
        <w:t>We implemented user-configurable policy-based EBS Snapshot identification and removal. The system tracks Total EBS Snapshots and Daily/Monthly Snapshot Cost, enabling the team to manage snapshot lifecycle proactively.</w:t>
      </w:r>
    </w:p>
    <w:p>
      <w:pPr>
        <w:spacing w:after="80"/>
      </w:pPr>
      <w:r>
        <w:rPr>
          <w:b/>
        </w:rPr>
        <w:t xml:space="preserve">5. Commitment-Based Pricing — Savings Plans &amp; Reserved Instances: </w:t>
      </w:r>
      <w:r>
        <w:t>We increased Savings Plans coverage from 18% to 72% with 98% utilization. The dashboard shows total reservations, purchased units, resources covered, total reservation spend, and unused reservation fees. We also track RI utilization and identify unused RIs (e.g., Amazon RDS) for optimization.</w:t>
      </w:r>
    </w:p>
    <w:p>
      <w:pPr>
        <w:spacing w:after="80"/>
      </w:pPr>
      <w:r>
        <w:rPr>
          <w:b/>
        </w:rPr>
        <w:t xml:space="preserve">6. Cost Anomaly Detection: </w:t>
      </w:r>
      <w:r>
        <w:t>We deployed anomaly detection with explicit mitigation status tracking. When an anomaly is detected, the system flags it and tracks whether mitigation has been applied. This is proactive, not reactive.</w:t>
      </w:r>
    </w:p>
    <w:p>
      <w:pPr>
        <w:spacing w:after="80"/>
      </w:pPr>
      <w:r>
        <w:rPr>
          <w:b/>
        </w:rPr>
        <w:t xml:space="preserve">7. Proactive Alerting: </w:t>
      </w:r>
      <w:r>
        <w:t>Budget alerts monitor Daily Average Cost, Daily Variance, Forecasted Cost for the month, and Predicted Cost at end of month. Alerts are sent via email and a third-party webhook integration."</w:t>
      </w:r>
    </w:p>
    <w:p>
      <w:pPr>
        <w:spacing w:before="120" w:after="120"/>
      </w:pPr>
      <w:r>
        <w:rPr>
          <w:color w:val="C8C8C8"/>
        </w:rPr>
        <w:t>────────────────────────────────────────────────────────────────────────────────</w:t>
      </w:r>
    </w:p>
    <w:p>
      <w:pPr>
        <w:pStyle w:val="Heading1"/>
      </w:pPr>
      <w:r>
        <w:rPr>
          <w:color w:val="003366"/>
        </w:rPr>
        <w:t>SECTION 8: INFRASTRUCTURE AS CODE &amp; OPERATIONAL EXCELLENCE (3–4 Minutes)</w:t>
      </w:r>
    </w:p>
    <w:p>
      <w:r>
        <w:rPr>
          <w:b/>
          <w:color w:val="808080"/>
          <w:sz w:val="20"/>
        </w:rPr>
        <w:t>[Speaker Notes]</w:t>
      </w:r>
    </w:p>
    <w:p>
      <w:pPr>
        <w:spacing w:after="120"/>
      </w:pPr>
      <w:r>
        <w:t>"All infrastructure for Franciscan is managed through Infrastructure as Code using Terraform. This is not optional — it is a core requirement of our methodology.</w:t>
      </w:r>
    </w:p>
    <w:p>
      <w:pPr>
        <w:pStyle w:val="Heading2"/>
      </w:pPr>
      <w:r>
        <w:rPr>
          <w:color w:val="333333"/>
        </w:rPr>
        <w:t>IaC Workflow</w:t>
      </w:r>
    </w:p>
    <w:p>
      <w:pPr>
        <w:spacing w:after="120"/>
      </w:pPr>
      <w:r>
        <w:t>We implemented a GitOps-driven IaC workflow where the Git repository is the single source of truth for all infrastructure. All changes are applied automatically via a CI/CD pipeline. We promote immutable infrastructure — resources are replaced rather than modified in place.</w:t>
      </w:r>
    </w:p>
    <w:p>
      <w:pPr>
        <w:pStyle w:val="Heading2"/>
      </w:pPr>
      <w:r>
        <w:rPr>
          <w:color w:val="333333"/>
        </w:rPr>
        <w:t>Pipeline Security</w:t>
      </w:r>
    </w:p>
    <w:p>
      <w:pPr>
        <w:spacing w:after="120"/>
      </w:pPr>
      <w:r>
        <w:t>Security checks are embedded directly in the pipeline:</w:t>
      </w:r>
    </w:p>
    <w:p>
      <w:pPr>
        <w:pStyle w:val="ListBullet"/>
        <w:spacing w:after="40"/>
      </w:pPr>
      <w:r>
        <w:t>Static Analysis using tflint for Terraform linting</w:t>
      </w:r>
    </w:p>
    <w:p>
      <w:pPr>
        <w:pStyle w:val="ListBullet"/>
        <w:spacing w:after="40"/>
      </w:pPr>
      <w:r>
        <w:t>Security Scanning using tfsec and Checkov</w:t>
      </w:r>
    </w:p>
    <w:p>
      <w:pPr>
        <w:pStyle w:val="ListBullet"/>
        <w:spacing w:after="40"/>
      </w:pPr>
      <w:r>
        <w:t>Validation using provider-native tools</w:t>
      </w:r>
    </w:p>
    <w:p>
      <w:pPr>
        <w:pStyle w:val="ListBullet"/>
        <w:spacing w:after="40"/>
      </w:pPr>
      <w:r>
        <w:t>Tag compliance checks that fail the pipeline if mandatory tags are missing</w:t>
      </w:r>
    </w:p>
    <w:p>
      <w:pPr>
        <w:pStyle w:val="Heading2"/>
      </w:pPr>
      <w:r>
        <w:rPr>
          <w:color w:val="333333"/>
        </w:rPr>
        <w:t>Rollback Strategy</w:t>
      </w:r>
    </w:p>
    <w:p>
      <w:pPr>
        <w:spacing w:after="120"/>
      </w:pPr>
      <w:r>
        <w:t>The primary rollback mechanism is to revert the commit in Git and re-run the pipeline. For failed deployments, the pipeline is configured to automatically roll back to the last known good state.</w:t>
      </w:r>
    </w:p>
    <w:p>
      <w:pPr>
        <w:pStyle w:val="Heading2"/>
      </w:pPr>
      <w:r>
        <w:rPr>
          <w:color w:val="333333"/>
        </w:rPr>
        <w:t>Account Lifecycle Management</w:t>
      </w:r>
    </w:p>
    <w:p>
      <w:pPr>
        <w:spacing w:after="120"/>
      </w:pPr>
      <w:r>
        <w:t>We follow a structured account lifecycle — Request, Provision, Operate, Retire. Account provisioning is 100% automated using AWS Control Tower Account Factory with CloudFormation-based Account Blueprints. When accounts are retired, data is archived to an immutable S3 bucket in the Log Archive account, and the account goes through a 90-day suspension period before formal closure."</w:t>
      </w:r>
    </w:p>
    <w:p>
      <w:pPr>
        <w:spacing w:before="120" w:after="120"/>
      </w:pPr>
      <w:r>
        <w:rPr>
          <w:color w:val="C8C8C8"/>
        </w:rPr>
        <w:t>────────────────────────────────────────────────────────────────────────────────</w:t>
      </w:r>
    </w:p>
    <w:p>
      <w:pPr>
        <w:pStyle w:val="Heading1"/>
      </w:pPr>
      <w:r>
        <w:rPr>
          <w:color w:val="003366"/>
        </w:rPr>
        <w:t>SECTION 9: MEASURABLE OUTCOMES &amp; BUSINESS IMPACT (3–4 Minutes)</w:t>
      </w:r>
    </w:p>
    <w:p>
      <w:r>
        <w:rPr>
          <w:b/>
          <w:color w:val="808080"/>
          <w:sz w:val="20"/>
        </w:rPr>
        <w:t>[Speaker Notes]</w:t>
      </w:r>
    </w:p>
    <w:p>
      <w:pPr>
        <w:spacing w:after="120"/>
      </w:pPr>
      <w:r>
        <w:t>"Here are the measurable outcomes from this engagement. These are not projections — these are actuals documented in the project sign-off.</w:t>
      </w:r>
    </w:p>
    <w:p>
      <w:pPr>
        <w:spacing w:after="80"/>
      </w:pPr>
      <w:r>
        <w:rPr>
          <w:b/>
        </w:rPr>
        <w:t xml:space="preserve">Cost Reduction: </w:t>
      </w:r>
      <w:r>
        <w:t>Approximately 30% monthly AWS cost reduction achieved within 120 days of engagement start.</w:t>
      </w:r>
    </w:p>
    <w:p>
      <w:pPr>
        <w:spacing w:after="80"/>
      </w:pPr>
      <w:r>
        <w:rPr>
          <w:b/>
        </w:rPr>
        <w:t xml:space="preserve">Tag Compliance: </w:t>
      </w:r>
      <w:r>
        <w:t>Improved from 58% to 96% across 4 mandatory cost allocation tags. This is the single most impactful governance metric — it unlocked accurate cost allocation across all business units.</w:t>
      </w:r>
    </w:p>
    <w:p>
      <w:pPr>
        <w:spacing w:after="80"/>
      </w:pPr>
      <w:r>
        <w:rPr>
          <w:b/>
        </w:rPr>
        <w:t xml:space="preserve">Commitment Coverage: </w:t>
      </w:r>
      <w:r>
        <w:t>Savings Plans coverage increased from 18% to 72% with 98% utilization rate. This means we are not just buying commitments — we are using them effectively.</w:t>
      </w:r>
    </w:p>
    <w:p>
      <w:pPr>
        <w:spacing w:after="80"/>
      </w:pPr>
      <w:r>
        <w:rPr>
          <w:b/>
        </w:rPr>
        <w:t xml:space="preserve">Forecast Accuracy: </w:t>
      </w:r>
      <w:r>
        <w:t>Improved forecast accuracy during seasonal peaks. The ML-based seasonal forecasting models now account for admission and exam cycles, giving Franciscan predictable spend even during high-demand periods.</w:t>
      </w:r>
    </w:p>
    <w:p>
      <w:pPr>
        <w:spacing w:after="80"/>
      </w:pPr>
      <w:r>
        <w:rPr>
          <w:b/>
        </w:rPr>
        <w:t xml:space="preserve">Unit Economics: </w:t>
      </w:r>
      <w:r>
        <w:t>Franciscan can now calculate cost-per-DAU (Daily Active User), tying cloud spend directly to business value. This metric is shared with Product and Engineering teams for architectural decision-making.</w:t>
      </w:r>
    </w:p>
    <w:p>
      <w:pPr>
        <w:spacing w:after="80"/>
      </w:pPr>
      <w:r>
        <w:rPr>
          <w:b/>
        </w:rPr>
        <w:t xml:space="preserve">Governance: </w:t>
      </w:r>
      <w:r>
        <w:t>All IAM roles and governance guardrails (SCPs) have been verified. Centralized governance policies are in place across all accounts.</w:t>
      </w:r>
    </w:p>
    <w:p>
      <w:pPr>
        <w:spacing w:after="80"/>
      </w:pPr>
      <w:r>
        <w:rPr>
          <w:b/>
        </w:rPr>
        <w:t xml:space="preserve">Knowledge Transfer: </w:t>
      </w:r>
      <w:r>
        <w:t>3 deep-dive training sessions were conducted for the Engineering and Finance teams covering the CCoE operating model, FinOps best practices, and the Aquila Cloud platform."</w:t>
      </w:r>
    </w:p>
    <w:p>
      <w:pPr>
        <w:spacing w:before="120" w:after="120"/>
      </w:pPr>
      <w:r>
        <w:rPr>
          <w:color w:val="C8C8C8"/>
        </w:rPr>
        <w:t>────────────────────────────────────────────────────────────────────────────────</w:t>
      </w:r>
    </w:p>
    <w:p>
      <w:pPr>
        <w:pStyle w:val="Heading1"/>
      </w:pPr>
      <w:r>
        <w:rPr>
          <w:color w:val="003366"/>
        </w:rPr>
        <w:t>SECTION 10: PROJECT SIGN-OFF &amp; FORMAL CLOSURE (2–3 Minutes)</w:t>
      </w:r>
    </w:p>
    <w:p>
      <w:r>
        <w:rPr>
          <w:b/>
          <w:color w:val="808080"/>
          <w:sz w:val="20"/>
        </w:rPr>
        <w:t>[Speaker Notes]</w:t>
      </w:r>
    </w:p>
    <w:p>
      <w:pPr>
        <w:spacing w:after="120"/>
      </w:pPr>
      <w:r>
        <w:t>"The FinOps Transformation Program for Franciscan Solutions was formally completed and signed off on August 29, 2025. The Project Sign-Off &amp; Acceptance Report confirms that all core deliverables were reviewed, tested, and formally handed over.</w:t>
      </w:r>
    </w:p>
    <w:p>
      <w:pPr>
        <w:spacing w:after="120"/>
      </w:pPr>
      <w:r>
        <w:t>The deliverables accepted include:</w:t>
      </w:r>
    </w:p>
    <w:p>
      <w:pPr>
        <w:pStyle w:val="ListBullet"/>
        <w:spacing w:after="40"/>
      </w:pPr>
      <w:r>
        <w:t>The commitment strategy with 72% SP coverage and 98% utilization</w:t>
      </w:r>
    </w:p>
    <w:p>
      <w:pPr>
        <w:pStyle w:val="ListBullet"/>
        <w:spacing w:after="40"/>
      </w:pPr>
      <w:r>
        <w:t>Governance excellence with 96% tag compliance</w:t>
      </w:r>
    </w:p>
    <w:p>
      <w:pPr>
        <w:pStyle w:val="ListBullet"/>
        <w:spacing w:after="40"/>
      </w:pPr>
      <w:r>
        <w:t>Verified account ownership with IAM roles and SCP guardrails</w:t>
      </w:r>
    </w:p>
    <w:p>
      <w:pPr>
        <w:pStyle w:val="ListBullet"/>
        <w:spacing w:after="40"/>
      </w:pPr>
      <w:r>
        <w:t>Knowledge transfer through 3 training sessions on the CCoE operating model</w:t>
      </w:r>
    </w:p>
    <w:p>
      <w:pPr>
        <w:pStyle w:val="ListBullet"/>
        <w:spacing w:after="40"/>
      </w:pPr>
      <w:r>
        <w:t>Formal support transition — project support concluded on August 29, 2025, with any further engagement governed by a separate support agreement</w:t>
      </w:r>
    </w:p>
    <w:p>
      <w:pPr>
        <w:spacing w:after="120"/>
      </w:pPr>
      <w:r>
        <w:t>The project transitioned Franciscan's AWS environment from a state of unpredictable seasonal spend into a governed, optimized, and scalable architecture. Both parties signed the acceptance report confirming project completion."</w:t>
      </w:r>
    </w:p>
    <w:p>
      <w:pPr>
        <w:spacing w:before="120" w:after="120"/>
      </w:pPr>
      <w:r>
        <w:rPr>
          <w:color w:val="C8C8C8"/>
        </w:rPr>
        <w:t>────────────────────────────────────────────────────────────────────────────────</w:t>
      </w:r>
    </w:p>
    <w:p>
      <w:pPr>
        <w:pStyle w:val="Heading1"/>
      </w:pPr>
      <w:r>
        <w:rPr>
          <w:color w:val="003366"/>
        </w:rPr>
        <w:t>SECTION 11: CLOSING &amp; Q&amp;A (2–3 Minutes)</w:t>
      </w:r>
    </w:p>
    <w:p>
      <w:r>
        <w:rPr>
          <w:b/>
          <w:color w:val="808080"/>
          <w:sz w:val="20"/>
        </w:rPr>
        <w:t>[Speaker Notes]</w:t>
      </w:r>
    </w:p>
    <w:p>
      <w:pPr>
        <w:spacing w:after="120"/>
      </w:pPr>
      <w:r>
        <w:t>"To summarize what we delivered for Franciscan Solutions:</w:t>
      </w:r>
    </w:p>
    <w:p>
      <w:pPr>
        <w:spacing w:after="120"/>
      </w:pPr>
      <w:r>
        <w:t>We took an EdTech company with 58% tag compliance, no cost visibility, no unit economics, and unpredictable seasonal spend — and transformed it into a governed, optimized AWS environment with 96% tag compliance, 72% Savings Plans coverage at 98% utilization, 30% cost reduction, and the ability to calculate cost-per-student for the first time.</w:t>
      </w:r>
    </w:p>
    <w:p>
      <w:pPr>
        <w:spacing w:after="120"/>
      </w:pPr>
      <w:r>
        <w:t>This engagement demonstrates our competency across the full spectrum of AWS Cloud Financial Management — from foundational governance and tagging, through optimization and commitment management, to operational excellence with forecasting, anomaly detection, and proactive alerting.</w:t>
      </w:r>
    </w:p>
    <w:p>
      <w:pPr>
        <w:spacing w:after="120"/>
      </w:pPr>
      <w:r>
        <w:t>We are happy to answer any questions the auditor may have. We also have supporting evidence available for every claim made in this presentation, including CUR dashboards, Aquila Cloud screenshots, Terraform code, Config rule configurations, and the signed project acceptance report.</w:t>
      </w:r>
    </w:p>
    <w:p>
      <w:pPr>
        <w:spacing w:after="120"/>
      </w:pPr>
      <w:r>
        <w:t>Thank you for your time."</w:t>
      </w:r>
    </w:p>
    <w:p>
      <w:r>
        <w:br w:type="page"/>
      </w:r>
    </w:p>
    <w:p>
      <w:pPr>
        <w:pStyle w:val="Heading1"/>
      </w:pPr>
      <w:r>
        <w:rPr>
          <w:color w:val="003366"/>
        </w:rPr>
        <w:t>APPENDIX A: QUICK REFERENCE — KEY METRICS FOR AUDITOR</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w:t>
            </w:r>
          </w:p>
        </w:tc>
        <w:tc>
          <w:tcPr>
            <w:tcW w:type="dxa" w:w="2880"/>
          </w:tcPr>
          <w:p>
            <w:r>
              <w:rPr>
                <w:b/>
              </w:rPr>
              <w:t>After</w:t>
            </w:r>
          </w:p>
        </w:tc>
      </w:tr>
      <w:tr>
        <w:tc>
          <w:tcPr>
            <w:tcW w:type="dxa" w:w="2880"/>
          </w:tcPr>
          <w:p>
            <w:r>
              <w:t>Tag Compliance</w:t>
            </w:r>
          </w:p>
        </w:tc>
        <w:tc>
          <w:tcPr>
            <w:tcW w:type="dxa" w:w="2880"/>
          </w:tcPr>
          <w:p>
            <w:r>
              <w:t>58%</w:t>
            </w:r>
          </w:p>
        </w:tc>
        <w:tc>
          <w:tcPr>
            <w:tcW w:type="dxa" w:w="2880"/>
          </w:tcPr>
          <w:p>
            <w:r>
              <w:t>96%</w:t>
            </w:r>
          </w:p>
        </w:tc>
      </w:tr>
      <w:tr>
        <w:tc>
          <w:tcPr>
            <w:tcW w:type="dxa" w:w="2880"/>
          </w:tcPr>
          <w:p>
            <w:r>
              <w:t>Savings Plans Coverage</w:t>
            </w:r>
          </w:p>
        </w:tc>
        <w:tc>
          <w:tcPr>
            <w:tcW w:type="dxa" w:w="2880"/>
          </w:tcPr>
          <w:p>
            <w:r>
              <w:t>18%</w:t>
            </w:r>
          </w:p>
        </w:tc>
        <w:tc>
          <w:tcPr>
            <w:tcW w:type="dxa" w:w="2880"/>
          </w:tcPr>
          <w:p>
            <w:r>
              <w:t>72%</w:t>
            </w:r>
          </w:p>
        </w:tc>
      </w:tr>
      <w:tr>
        <w:tc>
          <w:tcPr>
            <w:tcW w:type="dxa" w:w="2880"/>
          </w:tcPr>
          <w:p>
            <w:r>
              <w:t>SP Utilization</w:t>
            </w:r>
          </w:p>
        </w:tc>
        <w:tc>
          <w:tcPr>
            <w:tcW w:type="dxa" w:w="2880"/>
          </w:tcPr>
          <w:p>
            <w:r>
              <w:t>N/A</w:t>
            </w:r>
          </w:p>
        </w:tc>
        <w:tc>
          <w:tcPr>
            <w:tcW w:type="dxa" w:w="2880"/>
          </w:tcPr>
          <w:p>
            <w:r>
              <w:t>98%</w:t>
            </w:r>
          </w:p>
        </w:tc>
      </w:tr>
      <w:tr>
        <w:tc>
          <w:tcPr>
            <w:tcW w:type="dxa" w:w="2880"/>
          </w:tcPr>
          <w:p>
            <w:r>
              <w:t>Monthly Cost Reduction</w:t>
            </w:r>
          </w:p>
        </w:tc>
        <w:tc>
          <w:tcPr>
            <w:tcW w:type="dxa" w:w="2880"/>
          </w:tcPr>
          <w:p>
            <w:r>
              <w:t>Baseline</w:t>
            </w:r>
          </w:p>
        </w:tc>
        <w:tc>
          <w:tcPr>
            <w:tcW w:type="dxa" w:w="2880"/>
          </w:tcPr>
          <w:p>
            <w:r>
              <w:t>~30%</w:t>
            </w:r>
          </w:p>
        </w:tc>
      </w:tr>
      <w:tr>
        <w:tc>
          <w:tcPr>
            <w:tcW w:type="dxa" w:w="2880"/>
          </w:tcPr>
          <w:p>
            <w:r>
              <w:t>Unit Economics (Cost-per-DAU)</w:t>
            </w:r>
          </w:p>
        </w:tc>
        <w:tc>
          <w:tcPr>
            <w:tcW w:type="dxa" w:w="2880"/>
          </w:tcPr>
          <w:p>
            <w:r>
              <w:t>Not available</w:t>
            </w:r>
          </w:p>
        </w:tc>
        <w:tc>
          <w:tcPr>
            <w:tcW w:type="dxa" w:w="2880"/>
          </w:tcPr>
          <w:p>
            <w:r>
              <w:t>Tracked</w:t>
            </w:r>
          </w:p>
        </w:tc>
      </w:tr>
      <w:tr>
        <w:tc>
          <w:tcPr>
            <w:tcW w:type="dxa" w:w="2880"/>
          </w:tcPr>
          <w:p>
            <w:r>
              <w:t>Forecast Accuracy (Seasonal)</w:t>
            </w:r>
          </w:p>
        </w:tc>
        <w:tc>
          <w:tcPr>
            <w:tcW w:type="dxa" w:w="2880"/>
          </w:tcPr>
          <w:p>
            <w:r>
              <w:t>Reactive</w:t>
            </w:r>
          </w:p>
        </w:tc>
        <w:tc>
          <w:tcPr>
            <w:tcW w:type="dxa" w:w="2880"/>
          </w:tcPr>
          <w:p>
            <w:r>
              <w:t>ML-based predictive</w:t>
            </w:r>
          </w:p>
        </w:tc>
      </w:tr>
      <w:tr>
        <w:tc>
          <w:tcPr>
            <w:tcW w:type="dxa" w:w="2880"/>
          </w:tcPr>
          <w:p>
            <w:r>
              <w:t>Mandatory Tags Enforced</w:t>
            </w:r>
          </w:p>
        </w:tc>
        <w:tc>
          <w:tcPr>
            <w:tcW w:type="dxa" w:w="2880"/>
          </w:tcPr>
          <w:p>
            <w:r>
              <w:t>0</w:t>
            </w:r>
          </w:p>
        </w:tc>
        <w:tc>
          <w:tcPr>
            <w:tcW w:type="dxa" w:w="2880"/>
          </w:tcPr>
          <w:p>
            <w:r>
              <w:t>4 (via SCP)</w:t>
            </w:r>
          </w:p>
        </w:tc>
      </w:tr>
      <w:tr>
        <w:tc>
          <w:tcPr>
            <w:tcW w:type="dxa" w:w="2880"/>
          </w:tcPr>
          <w:p>
            <w:r>
              <w:t>Training Sessions Delivered</w:t>
            </w:r>
          </w:p>
        </w:tc>
        <w:tc>
          <w:tcPr>
            <w:tcW w:type="dxa" w:w="2880"/>
          </w:tcPr>
          <w:p>
            <w:r>
              <w:t>0</w:t>
            </w:r>
          </w:p>
        </w:tc>
        <w:tc>
          <w:tcPr>
            <w:tcW w:type="dxa" w:w="2880"/>
          </w:tcPr>
          <w:p>
            <w:r>
              <w:t>3</w:t>
            </w:r>
          </w:p>
        </w:tc>
      </w:tr>
      <w:tr>
        <w:tc>
          <w:tcPr>
            <w:tcW w:type="dxa" w:w="2880"/>
          </w:tcPr>
          <w:p>
            <w:r>
              <w:t>Project Sign-Off Date</w:t>
            </w:r>
          </w:p>
        </w:tc>
        <w:tc>
          <w:tcPr>
            <w:tcW w:type="dxa" w:w="2880"/>
          </w:tcPr>
          <w:p>
            <w:r>
              <w:t>—</w:t>
            </w:r>
          </w:p>
        </w:tc>
        <w:tc>
          <w:tcPr>
            <w:tcW w:type="dxa" w:w="2880"/>
          </w:tcPr>
          <w:p>
            <w:r>
              <w:t>August 29, 2025</w:t>
            </w:r>
          </w:p>
        </w:tc>
      </w:tr>
    </w:tbl>
    <w:p/>
    <w:p>
      <w:pPr>
        <w:pStyle w:val="Heading1"/>
      </w:pPr>
      <w:r>
        <w:rPr>
          <w:color w:val="003366"/>
        </w:rPr>
        <w:t>APPENDIX B: EVIDENCE MAPPING — WHAT TO SHOW IF ASKED</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Auditor Question</w:t>
            </w:r>
          </w:p>
        </w:tc>
        <w:tc>
          <w:tcPr>
            <w:tcW w:type="dxa" w:w="4320"/>
          </w:tcPr>
          <w:p>
            <w:r>
              <w:rPr>
                <w:b/>
              </w:rPr>
              <w:t>Evidence to Show</w:t>
            </w:r>
          </w:p>
        </w:tc>
      </w:tr>
      <w:tr>
        <w:tc>
          <w:tcPr>
            <w:tcW w:type="dxa" w:w="4320"/>
          </w:tcPr>
          <w:p>
            <w:r>
              <w:t>How do you enforce tagging?</w:t>
            </w:r>
          </w:p>
        </w:tc>
        <w:tc>
          <w:tcPr>
            <w:tcW w:type="dxa" w:w="4320"/>
          </w:tcPr>
          <w:p>
            <w:r>
              <w:t>AWS Tag Policies, SCPs denying untagged resource creation, CI/CD pipeline checks</w:t>
            </w:r>
          </w:p>
        </w:tc>
      </w:tr>
      <w:tr>
        <w:tc>
          <w:tcPr>
            <w:tcW w:type="dxa" w:w="4320"/>
          </w:tcPr>
          <w:p>
            <w:r>
              <w:t>Show me cost visibility</w:t>
            </w:r>
          </w:p>
        </w:tc>
        <w:tc>
          <w:tcPr>
            <w:tcW w:type="dxa" w:w="4320"/>
          </w:tcPr>
          <w:p>
            <w:r>
              <w:t>Aquila Cloud dashboards — Overview, Cost Trend, Top 10 Services</w:t>
            </w:r>
          </w:p>
        </w:tc>
      </w:tr>
      <w:tr>
        <w:tc>
          <w:tcPr>
            <w:tcW w:type="dxa" w:w="4320"/>
          </w:tcPr>
          <w:p>
            <w:r>
              <w:t>How do you do right-sizing?</w:t>
            </w:r>
          </w:p>
        </w:tc>
        <w:tc>
          <w:tcPr>
            <w:tcW w:type="dxa" w:w="4320"/>
          </w:tcPr>
          <w:p>
            <w:r>
              <w:t>Compute Optimizer + Aquila Cloud right-sizing recommendations with CPU/IOPS metrics</w:t>
            </w:r>
          </w:p>
        </w:tc>
      </w:tr>
      <w:tr>
        <w:tc>
          <w:tcPr>
            <w:tcW w:type="dxa" w:w="4320"/>
          </w:tcPr>
          <w:p>
            <w:r>
              <w:t>What about orphaned resources?</w:t>
            </w:r>
          </w:p>
        </w:tc>
        <w:tc>
          <w:tcPr>
            <w:tcW w:type="dxa" w:w="4320"/>
          </w:tcPr>
          <w:p>
            <w:r>
              <w:t>Aquila Cloud Unused Resources dashboard with cost quantification</w:t>
            </w:r>
          </w:p>
        </w:tc>
      </w:tr>
      <w:tr>
        <w:tc>
          <w:tcPr>
            <w:tcW w:type="dxa" w:w="4320"/>
          </w:tcPr>
          <w:p>
            <w:r>
              <w:t>Commitment management?</w:t>
            </w:r>
          </w:p>
        </w:tc>
        <w:tc>
          <w:tcPr>
            <w:tcW w:type="dxa" w:w="4320"/>
          </w:tcPr>
          <w:p>
            <w:r>
              <w:t>RI/SP dashboard showing coverage, utilization, unused fees</w:t>
            </w:r>
          </w:p>
        </w:tc>
      </w:tr>
      <w:tr>
        <w:tc>
          <w:tcPr>
            <w:tcW w:type="dxa" w:w="4320"/>
          </w:tcPr>
          <w:p>
            <w:r>
              <w:t>Anomaly detection?</w:t>
            </w:r>
          </w:p>
        </w:tc>
        <w:tc>
          <w:tcPr>
            <w:tcW w:type="dxa" w:w="4320"/>
          </w:tcPr>
          <w:p>
            <w:r>
              <w:t>Anomaly Detection dashboard with mitigation status</w:t>
            </w:r>
          </w:p>
        </w:tc>
      </w:tr>
      <w:tr>
        <w:tc>
          <w:tcPr>
            <w:tcW w:type="dxa" w:w="4320"/>
          </w:tcPr>
          <w:p>
            <w:r>
              <w:t>Budget alerting?</w:t>
            </w:r>
          </w:p>
        </w:tc>
        <w:tc>
          <w:tcPr>
            <w:tcW w:type="dxa" w:w="4320"/>
          </w:tcPr>
          <w:p>
            <w:r>
              <w:t>Budget Alert configuration with email + webhook integration</w:t>
            </w:r>
          </w:p>
        </w:tc>
      </w:tr>
      <w:tr>
        <w:tc>
          <w:tcPr>
            <w:tcW w:type="dxa" w:w="4320"/>
          </w:tcPr>
          <w:p>
            <w:r>
              <w:t>IaC evidence?</w:t>
            </w:r>
          </w:p>
        </w:tc>
        <w:tc>
          <w:tcPr>
            <w:tcW w:type="dxa" w:w="4320"/>
          </w:tcPr>
          <w:p>
            <w:r>
              <w:t>Terraform code for EKS node groups, pipeline configuration</w:t>
            </w:r>
          </w:p>
        </w:tc>
      </w:tr>
      <w:tr>
        <w:tc>
          <w:tcPr>
            <w:tcW w:type="dxa" w:w="4320"/>
          </w:tcPr>
          <w:p>
            <w:r>
              <w:t>CUR integration?</w:t>
            </w:r>
          </w:p>
        </w:tc>
        <w:tc>
          <w:tcPr>
            <w:tcW w:type="dxa" w:w="4320"/>
          </w:tcPr>
          <w:p>
            <w:r>
              <w:t>Daily Aggregation Refresh logs, Monthly Cost Aggregation, Bill Data Download entries</w:t>
            </w:r>
          </w:p>
        </w:tc>
      </w:tr>
      <w:tr>
        <w:tc>
          <w:tcPr>
            <w:tcW w:type="dxa" w:w="4320"/>
          </w:tcPr>
          <w:p>
            <w:r>
              <w:t>Training delivered?</w:t>
            </w:r>
          </w:p>
        </w:tc>
        <w:tc>
          <w:tcPr>
            <w:tcW w:type="dxa" w:w="4320"/>
          </w:tcPr>
          <w:p>
            <w:r>
              <w:t>Sign-off report confirming 3 deep-dive sessions</w:t>
            </w:r>
          </w:p>
        </w:tc>
      </w:tr>
      <w:tr>
        <w:tc>
          <w:tcPr>
            <w:tcW w:type="dxa" w:w="4320"/>
          </w:tcPr>
          <w:p>
            <w:r>
              <w:t>Project completion?</w:t>
            </w:r>
          </w:p>
        </w:tc>
        <w:tc>
          <w:tcPr>
            <w:tcW w:type="dxa" w:w="4320"/>
          </w:tcPr>
          <w:p>
            <w:r>
              <w:t>Signed Project Sign-Off &amp; Acceptance Report dated August 29,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