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color w:val="003366"/>
        </w:rPr>
        <w:t>AWS CloudOps Competency Audit</w:t>
      </w:r>
    </w:p>
    <w:p>
      <w:pPr>
        <w:jc w:val="center"/>
      </w:pPr>
      <w:r>
        <w:rPr>
          <w:color w:val="003366"/>
          <w:sz w:val="32"/>
        </w:rPr>
        <w:t>Client Case Studies Summary &amp; Franciscan Deep-Dive</w:t>
      </w:r>
    </w:p>
    <w:p>
      <w:pPr>
        <w:jc w:val="center"/>
      </w:pPr>
      <w:r>
        <w:rPr>
          <w:color w:val="505050"/>
          <w:sz w:val="26"/>
        </w:rPr>
        <w:t>Cloud Financial Management (CFM) Category</w:t>
      </w:r>
    </w:p>
    <w:p/>
    <w:p/>
    <w:p>
      <w:pPr>
        <w:jc w:val="center"/>
      </w:pPr>
      <w:r>
        <w:rPr>
          <w:color w:val="646464"/>
          <w:sz w:val="22"/>
        </w:rPr>
        <w:t>Mist Avinya Technologies LLP</w:t>
        <w:br/>
        <w:t>AWS Advanced Tier Partner</w:t>
        <w:br/>
        <w:t>March 2026</w:t>
      </w:r>
    </w:p>
    <w:p>
      <w:r>
        <w:br w:type="page"/>
      </w:r>
    </w:p>
    <w:p>
      <w:pPr>
        <w:pStyle w:val="Heading1"/>
      </w:pPr>
      <w:r>
        <w:rPr>
          <w:color w:val="003366"/>
        </w:rPr>
        <w:t>PART 1: CLIENT CASE STUDIES — SUMMARY</w:t>
      </w:r>
    </w:p>
    <w:p>
      <w:pPr>
        <w:spacing w:after="80"/>
      </w:pPr>
      <w:r>
        <w:rPr>
          <w:i/>
          <w:color w:val="646464"/>
          <w:sz w:val="20"/>
        </w:rPr>
        <w:t>[How to present this section to the auditor]</w:t>
      </w:r>
    </w:p>
    <w:p>
      <w:pPr>
        <w:spacing w:after="120"/>
      </w:pPr>
      <w:r>
        <w:t>"We serve clients across three industry verticals — Digital Services, AgriTech, and HealthTech. I will now walk you through a quick summary of all four client engagements that demonstrate our AWS CloudOps and FinOps competency. Each follows the same structure — Challenge, Solution, AWS Services Used, and Results. After the summary, I will do a detailed deep-dive into Franciscan Solutions, our primary customer reference."</w:t>
      </w:r>
    </w:p>
    <w:p>
      <w:pPr>
        <w:spacing w:before="120" w:after="120"/>
      </w:pPr>
      <w:r>
        <w:rPr>
          <w:color w:val="C8C8C8"/>
        </w:rPr>
        <w:t>────────────────────────────────────────────────────────────────────────────────</w:t>
      </w:r>
    </w:p>
    <w:p>
      <w:pPr>
        <w:pStyle w:val="Heading2"/>
      </w:pPr>
      <w:r>
        <w:rPr>
          <w:color w:val="333333"/>
        </w:rPr>
        <w:t>Client 1: Rev — Digital Services (EdTech)</w:t>
      </w:r>
    </w:p>
    <w:p>
      <w:pPr>
        <w:spacing w:after="80"/>
      </w:pPr>
      <w:r>
        <w:rPr>
          <w:i/>
          <w:color w:val="646464"/>
          <w:sz w:val="20"/>
        </w:rPr>
        <w:t>[Slide 11 from the presentation]</w:t>
      </w:r>
    </w:p>
    <w:p>
      <w:pPr>
        <w:spacing w:after="120"/>
      </w:pPr>
      <w:r>
        <w:t>"Rev is a fast-growing digital services platform. Like many SaaS companies scaling on AWS, they had limited visibility into their cloud costs, inconsistent resource tagging, low commitment coverage, and difficulty forecasting spend during variable demand periods."</w:t>
      </w:r>
    </w:p>
    <w:tbl>
      <w:tblPr>
        <w:tblStyle w:val="MediumShading1-Accent1"/>
        <w:tblW w:type="auto" w:w="0"/>
        <w:jc w:val="center"/>
        <w:tblLook w:firstColumn="1" w:firstRow="1" w:lastColumn="0" w:lastRow="0" w:noHBand="0" w:noVBand="1" w:val="04A0"/>
      </w:tblPr>
      <w:tblGrid>
        <w:gridCol w:w="4320"/>
        <w:gridCol w:w="4320"/>
      </w:tblGrid>
      <w:tr>
        <w:tc>
          <w:tcPr>
            <w:tcW w:type="dxa" w:w="2592"/>
          </w:tcPr>
          <w:p>
            <w:r>
              <w:rPr>
                <w:b/>
                <w:sz w:val="20"/>
              </w:rPr>
              <w:t>CHALLENGE</w:t>
            </w:r>
          </w:p>
        </w:tc>
        <w:tc>
          <w:tcPr>
            <w:tcW w:type="dxa" w:w="6768"/>
          </w:tcPr>
          <w:p>
            <w:r>
              <w:rPr>
                <w:sz w:val="20"/>
              </w:rPr>
              <w:t>Limited AWS cost visibility, inconsistent resource tagging, low commitment coverage and difficulty forecasting during variable demand periods.</w:t>
            </w:r>
          </w:p>
        </w:tc>
      </w:tr>
      <w:tr>
        <w:tc>
          <w:tcPr>
            <w:tcW w:type="dxa" w:w="2592"/>
          </w:tcPr>
          <w:p>
            <w:r>
              <w:rPr>
                <w:b/>
                <w:sz w:val="20"/>
              </w:rPr>
              <w:t>SOLUTION</w:t>
            </w:r>
          </w:p>
        </w:tc>
        <w:tc>
          <w:tcPr>
            <w:tcW w:type="dxa" w:w="6768"/>
          </w:tcPr>
          <w:p>
            <w:r>
              <w:rPr>
                <w:sz w:val="20"/>
              </w:rPr>
              <w:t>Implemented cross-functional FinOps framework with CUR integrated into Aquila Cloud, mandatory tagging enforcement, compute rightsizing and Savings Plans adoption.</w:t>
            </w:r>
          </w:p>
        </w:tc>
      </w:tr>
      <w:tr>
        <w:tc>
          <w:tcPr>
            <w:tcW w:type="dxa" w:w="2592"/>
          </w:tcPr>
          <w:p>
            <w:r>
              <w:rPr>
                <w:b/>
                <w:sz w:val="20"/>
              </w:rPr>
              <w:t>AWS SERVICES</w:t>
            </w:r>
          </w:p>
        </w:tc>
        <w:tc>
          <w:tcPr>
            <w:tcW w:type="dxa" w:w="6768"/>
          </w:tcPr>
          <w:p>
            <w:r>
              <w:rPr>
                <w:sz w:val="20"/>
              </w:rPr>
              <w:t>EKS · Lambda · RDS · S3 · CloudFront · Athena · Cost Explorer · AWS Budgets · AWS Organizations</w:t>
            </w:r>
          </w:p>
        </w:tc>
      </w:tr>
      <w:tr>
        <w:tc>
          <w:tcPr>
            <w:tcW w:type="dxa" w:w="2592"/>
          </w:tcPr>
          <w:p>
            <w:r>
              <w:rPr>
                <w:b/>
                <w:sz w:val="20"/>
              </w:rPr>
              <w:t>RESULTS</w:t>
            </w:r>
          </w:p>
        </w:tc>
        <w:tc>
          <w:tcPr>
            <w:tcW w:type="dxa" w:w="6768"/>
          </w:tcPr>
          <w:p>
            <w:r>
              <w:rPr>
                <w:sz w:val="20"/>
              </w:rPr>
              <w:t>~30% monthly AWS cost reduction within 120 days · &gt;90% tag compliance · High Savings Plans utilization · Improved forecast accuracy</w:t>
            </w:r>
          </w:p>
        </w:tc>
      </w:tr>
    </w:tbl>
    <w:p/>
    <w:p>
      <w:pPr>
        <w:spacing w:after="120"/>
      </w:pPr>
      <w:r>
        <w:t>"The key takeaway here — we delivered a 30% monthly cost reduction within 120 days, brought tag compliance above 90%, and achieved high Savings Plans utilization. This was a full FinOps transformation, not a one-time review."</w:t>
      </w:r>
    </w:p>
    <w:p>
      <w:pPr>
        <w:spacing w:before="120" w:after="120"/>
      </w:pPr>
      <w:r>
        <w:rPr>
          <w:color w:val="C8C8C8"/>
        </w:rPr>
        <w:t>────────────────────────────────────────────────────────────────────────────────</w:t>
      </w:r>
    </w:p>
    <w:p>
      <w:pPr>
        <w:pStyle w:val="Heading2"/>
      </w:pPr>
      <w:r>
        <w:rPr>
          <w:color w:val="333333"/>
        </w:rPr>
        <w:t>Client 2: Franciscan Solutions — Digital Services (EdTech)</w:t>
      </w:r>
    </w:p>
    <w:p>
      <w:pPr>
        <w:spacing w:after="80"/>
      </w:pPr>
      <w:r>
        <w:rPr>
          <w:i/>
          <w:color w:val="646464"/>
          <w:sz w:val="20"/>
        </w:rPr>
        <w:t>[Slide 12 from the presentation — this is our primary customer reference, detailed deep-dive follows in Part 2]</w:t>
      </w:r>
    </w:p>
    <w:p>
      <w:pPr>
        <w:spacing w:after="120"/>
      </w:pPr>
      <w:r>
        <w:t>"Franciscan Solutions is an Education Technology provider running digital learning platforms and student management systems. Their challenge was compounded by seasonal traffic spikes during admission and exam periods, which made AWS spend highly unpredictable."</w:t>
      </w:r>
    </w:p>
    <w:tbl>
      <w:tblPr>
        <w:tblStyle w:val="MediumShading1-Accent1"/>
        <w:tblW w:type="auto" w:w="0"/>
        <w:jc w:val="center"/>
        <w:tblLook w:firstColumn="1" w:firstRow="1" w:lastColumn="0" w:lastRow="0" w:noHBand="0" w:noVBand="1" w:val="04A0"/>
      </w:tblPr>
      <w:tblGrid>
        <w:gridCol w:w="4320"/>
        <w:gridCol w:w="4320"/>
      </w:tblGrid>
      <w:tr>
        <w:tc>
          <w:tcPr>
            <w:tcW w:type="dxa" w:w="2592"/>
          </w:tcPr>
          <w:p>
            <w:r>
              <w:rPr>
                <w:b/>
                <w:sz w:val="20"/>
              </w:rPr>
              <w:t>CHALLENGE</w:t>
            </w:r>
          </w:p>
        </w:tc>
        <w:tc>
          <w:tcPr>
            <w:tcW w:type="dxa" w:w="6768"/>
          </w:tcPr>
          <w:p>
            <w:r>
              <w:rPr>
                <w:sz w:val="20"/>
              </w:rPr>
              <w:t>Limited cost visibility across multiple environments, seasonal traffic spikes causing unpredictable AWS spend, inconsistent tagging and need for stronger governance.</w:t>
            </w:r>
          </w:p>
        </w:tc>
      </w:tr>
      <w:tr>
        <w:tc>
          <w:tcPr>
            <w:tcW w:type="dxa" w:w="2592"/>
          </w:tcPr>
          <w:p>
            <w:r>
              <w:rPr>
                <w:b/>
                <w:sz w:val="20"/>
              </w:rPr>
              <w:t>SOLUTION</w:t>
            </w:r>
          </w:p>
        </w:tc>
        <w:tc>
          <w:tcPr>
            <w:tcW w:type="dxa" w:w="6768"/>
          </w:tcPr>
          <w:p>
            <w:r>
              <w:rPr>
                <w:sz w:val="20"/>
              </w:rPr>
              <w:t>Cross-functional FinOps framework with CUR via Aquila Cloud, EC2 rightsizing and scheduling, S3 lifecycle policies and AWS Budgets with anomaly detection.</w:t>
            </w:r>
          </w:p>
        </w:tc>
      </w:tr>
      <w:tr>
        <w:tc>
          <w:tcPr>
            <w:tcW w:type="dxa" w:w="2592"/>
          </w:tcPr>
          <w:p>
            <w:r>
              <w:rPr>
                <w:b/>
                <w:sz w:val="20"/>
              </w:rPr>
              <w:t>AWS SERVICES</w:t>
            </w:r>
          </w:p>
        </w:tc>
        <w:tc>
          <w:tcPr>
            <w:tcW w:type="dxa" w:w="6768"/>
          </w:tcPr>
          <w:p>
            <w:r>
              <w:rPr>
                <w:sz w:val="20"/>
              </w:rPr>
              <w:t>EC2 · Lambda · DynamoDB · S3 · CloudFront · Athena · Cost Explorer · AWS Budgets · AWS Organizations</w:t>
            </w:r>
          </w:p>
        </w:tc>
      </w:tr>
      <w:tr>
        <w:tc>
          <w:tcPr>
            <w:tcW w:type="dxa" w:w="2592"/>
          </w:tcPr>
          <w:p>
            <w:r>
              <w:rPr>
                <w:b/>
                <w:sz w:val="20"/>
              </w:rPr>
              <w:t>RESULTS</w:t>
            </w:r>
          </w:p>
        </w:tc>
        <w:tc>
          <w:tcPr>
            <w:tcW w:type="dxa" w:w="6768"/>
          </w:tcPr>
          <w:p>
            <w:r>
              <w:rPr>
                <w:sz w:val="20"/>
              </w:rPr>
              <w:t>&gt;95% tag compliance · Improved forecast accuracy during seasonal peaks · Centralized governance policies</w:t>
            </w:r>
          </w:p>
        </w:tc>
      </w:tr>
    </w:tbl>
    <w:p/>
    <w:p>
      <w:pPr>
        <w:spacing w:after="120"/>
      </w:pPr>
      <w:r>
        <w:t>"Franciscan is our deepest engagement. We achieved over 95% tag compliance, improved forecast accuracy specifically during their seasonal peaks, and established centralized governance policies across all accounts. I will cover this in full detail in Part 2."</w:t>
      </w:r>
    </w:p>
    <w:p>
      <w:pPr>
        <w:spacing w:before="120" w:after="120"/>
      </w:pPr>
      <w:r>
        <w:rPr>
          <w:color w:val="C8C8C8"/>
        </w:rPr>
        <w:t>────────────────────────────────────────────────────────────────────────────────</w:t>
      </w:r>
    </w:p>
    <w:p>
      <w:pPr>
        <w:pStyle w:val="Heading2"/>
      </w:pPr>
      <w:r>
        <w:rPr>
          <w:color w:val="333333"/>
        </w:rPr>
        <w:t>Client 3: AgriTech Company — Agriculture Technology</w:t>
      </w:r>
    </w:p>
    <w:p>
      <w:pPr>
        <w:spacing w:after="80"/>
      </w:pPr>
      <w:r>
        <w:rPr>
          <w:i/>
          <w:color w:val="646464"/>
          <w:sz w:val="20"/>
        </w:rPr>
        <w:t>[Slide 13 from the presentation]</w:t>
      </w:r>
    </w:p>
    <w:p>
      <w:pPr>
        <w:spacing w:after="120"/>
      </w:pPr>
      <w:r>
        <w:t>"Our AgriTech client operates a data-driven agriculture platform that ingests data from IoT sensors. Their core challenge was the inability to calculate cost per acre — a critical unit economics metric for their pricing model. They also had high data ingestion costs from IoT sensor streams."</w:t>
      </w:r>
    </w:p>
    <w:tbl>
      <w:tblPr>
        <w:tblStyle w:val="MediumShading1-Accent1"/>
        <w:tblW w:type="auto" w:w="0"/>
        <w:jc w:val="center"/>
        <w:tblLook w:firstColumn="1" w:firstRow="1" w:lastColumn="0" w:lastRow="0" w:noHBand="0" w:noVBand="1" w:val="04A0"/>
      </w:tblPr>
      <w:tblGrid>
        <w:gridCol w:w="4320"/>
        <w:gridCol w:w="4320"/>
      </w:tblGrid>
      <w:tr>
        <w:tc>
          <w:tcPr>
            <w:tcW w:type="dxa" w:w="2592"/>
          </w:tcPr>
          <w:p>
            <w:r>
              <w:rPr>
                <w:b/>
                <w:sz w:val="20"/>
              </w:rPr>
              <w:t>CHALLENGE</w:t>
            </w:r>
          </w:p>
        </w:tc>
        <w:tc>
          <w:tcPr>
            <w:tcW w:type="dxa" w:w="6768"/>
          </w:tcPr>
          <w:p>
            <w:r>
              <w:rPr>
                <w:sz w:val="20"/>
              </w:rPr>
              <w:t>Unable to calculate cost per acre for pricing models. High data ingestion costs from IoT sensors.</w:t>
            </w:r>
          </w:p>
        </w:tc>
      </w:tr>
      <w:tr>
        <w:tc>
          <w:tcPr>
            <w:tcW w:type="dxa" w:w="2592"/>
          </w:tcPr>
          <w:p>
            <w:r>
              <w:rPr>
                <w:b/>
                <w:sz w:val="20"/>
              </w:rPr>
              <w:t>SOLUTION</w:t>
            </w:r>
          </w:p>
        </w:tc>
        <w:tc>
          <w:tcPr>
            <w:tcW w:type="dxa" w:w="6768"/>
          </w:tcPr>
          <w:p>
            <w:r>
              <w:rPr>
                <w:sz w:val="20"/>
              </w:rPr>
              <w:t>Full infrastructure managed via Terraform IaC. Deployed 100% serverless data ingestion pipeline using Kinesis Data Analytics and Kinesis Data Streams for unit economics visibility.</w:t>
            </w:r>
          </w:p>
        </w:tc>
      </w:tr>
      <w:tr>
        <w:tc>
          <w:tcPr>
            <w:tcW w:type="dxa" w:w="2592"/>
          </w:tcPr>
          <w:p>
            <w:r>
              <w:rPr>
                <w:b/>
                <w:sz w:val="20"/>
              </w:rPr>
              <w:t>AWS SERVICES</w:t>
            </w:r>
          </w:p>
        </w:tc>
        <w:tc>
          <w:tcPr>
            <w:tcW w:type="dxa" w:w="6768"/>
          </w:tcPr>
          <w:p>
            <w:r>
              <w:rPr>
                <w:sz w:val="20"/>
              </w:rPr>
              <w:t>CUR · AWS Budgets · AWS Organizations · Kinesis Data Streams · Kinesis Data Analytics</w:t>
            </w:r>
          </w:p>
        </w:tc>
      </w:tr>
      <w:tr>
        <w:tc>
          <w:tcPr>
            <w:tcW w:type="dxa" w:w="2592"/>
          </w:tcPr>
          <w:p>
            <w:r>
              <w:rPr>
                <w:b/>
                <w:sz w:val="20"/>
              </w:rPr>
              <w:t>RESULTS</w:t>
            </w:r>
          </w:p>
        </w:tc>
        <w:tc>
          <w:tcPr>
            <w:tcW w:type="dxa" w:w="6768"/>
          </w:tcPr>
          <w:p>
            <w:r>
              <w:rPr>
                <w:sz w:val="20"/>
              </w:rPr>
              <w:t>100% serverless pipeline achieved. Significant reduction in data processing costs and processing time.</w:t>
            </w:r>
          </w:p>
        </w:tc>
      </w:tr>
    </w:tbl>
    <w:p/>
    <w:p>
      <w:pPr>
        <w:spacing w:after="120"/>
      </w:pPr>
      <w:r>
        <w:t>"The key outcome here was achieving a fully serverless pipeline — which eliminated idle compute costs entirely — and giving the client the ability to calculate cost-per-acre for the first time. All infrastructure is managed via Terraform IaC, which aligns with our operational excellence methodology."</w:t>
      </w:r>
    </w:p>
    <w:p>
      <w:pPr>
        <w:spacing w:before="120" w:after="120"/>
      </w:pPr>
      <w:r>
        <w:rPr>
          <w:color w:val="C8C8C8"/>
        </w:rPr>
        <w:t>────────────────────────────────────────────────────────────────────────────────</w:t>
      </w:r>
    </w:p>
    <w:p>
      <w:pPr>
        <w:pStyle w:val="Heading2"/>
      </w:pPr>
      <w:r>
        <w:rPr>
          <w:color w:val="333333"/>
        </w:rPr>
        <w:t>Client 4: HealthTech Company — Healthcare Technology</w:t>
      </w:r>
    </w:p>
    <w:p>
      <w:pPr>
        <w:spacing w:after="80"/>
      </w:pPr>
      <w:r>
        <w:rPr>
          <w:i/>
          <w:color w:val="646464"/>
          <w:sz w:val="20"/>
        </w:rPr>
        <w:t>[Slide 14 from the presentation]</w:t>
      </w:r>
    </w:p>
    <w:p>
      <w:pPr>
        <w:spacing w:after="120"/>
      </w:pPr>
      <w:r>
        <w:t>"Our HealthTech client runs AI inference workloads for medical imaging across multiple hospital clients. Their challenges were unpredictable GPU hardware costs, no cost-per-scan visibility, and difficulty scaling inference infrastructure for new hospital onboarding — all while maintaining HIPAA compliance."</w:t>
      </w:r>
    </w:p>
    <w:tbl>
      <w:tblPr>
        <w:tblStyle w:val="MediumShading1-Accent1"/>
        <w:tblW w:type="auto" w:w="0"/>
        <w:jc w:val="center"/>
        <w:tblLook w:firstColumn="1" w:firstRow="1" w:lastColumn="0" w:lastRow="0" w:noHBand="0" w:noVBand="1" w:val="04A0"/>
      </w:tblPr>
      <w:tblGrid>
        <w:gridCol w:w="4320"/>
        <w:gridCol w:w="4320"/>
      </w:tblGrid>
      <w:tr>
        <w:tc>
          <w:tcPr>
            <w:tcW w:type="dxa" w:w="2592"/>
          </w:tcPr>
          <w:p>
            <w:r>
              <w:rPr>
                <w:b/>
                <w:sz w:val="20"/>
              </w:rPr>
              <w:t>CHALLENGE</w:t>
            </w:r>
          </w:p>
        </w:tc>
        <w:tc>
          <w:tcPr>
            <w:tcW w:type="dxa" w:w="6768"/>
          </w:tcPr>
          <w:p>
            <w:r>
              <w:rPr>
                <w:sz w:val="20"/>
              </w:rPr>
              <w:t>Unpredictable GPU hardware costs, no cost-per-scan visibility. Difficulty scaling inference for new hospital clients while maintaining compliant infrastructure.</w:t>
            </w:r>
          </w:p>
        </w:tc>
      </w:tr>
      <w:tr>
        <w:tc>
          <w:tcPr>
            <w:tcW w:type="dxa" w:w="2592"/>
          </w:tcPr>
          <w:p>
            <w:r>
              <w:rPr>
                <w:b/>
                <w:sz w:val="20"/>
              </w:rPr>
              <w:t>SOLUTION</w:t>
            </w:r>
          </w:p>
        </w:tc>
        <w:tc>
          <w:tcPr>
            <w:tcW w:type="dxa" w:w="6768"/>
          </w:tcPr>
          <w:p>
            <w:r>
              <w:rPr>
                <w:sz w:val="20"/>
              </w:rPr>
              <w:t>CUR integrated with Aquila Cloud for cost-per-scan KPI tracking. Infrastructure optimization for HIPAA workloads using EC2 G5 instances and AWS HealthImaging.</w:t>
            </w:r>
          </w:p>
        </w:tc>
      </w:tr>
      <w:tr>
        <w:tc>
          <w:tcPr>
            <w:tcW w:type="dxa" w:w="2592"/>
          </w:tcPr>
          <w:p>
            <w:r>
              <w:rPr>
                <w:b/>
                <w:sz w:val="20"/>
              </w:rPr>
              <w:t>AWS SERVICES</w:t>
            </w:r>
          </w:p>
        </w:tc>
        <w:tc>
          <w:tcPr>
            <w:tcW w:type="dxa" w:w="6768"/>
          </w:tcPr>
          <w:p>
            <w:r>
              <w:rPr>
                <w:sz w:val="20"/>
              </w:rPr>
              <w:t>CUR · AWS Budgets · AWS Organizations · Athena · EC2 G5 · AWS HealthImaging</w:t>
            </w:r>
          </w:p>
        </w:tc>
      </w:tr>
      <w:tr>
        <w:tc>
          <w:tcPr>
            <w:tcW w:type="dxa" w:w="2592"/>
          </w:tcPr>
          <w:p>
            <w:r>
              <w:rPr>
                <w:b/>
                <w:sz w:val="20"/>
              </w:rPr>
              <w:t>RESULTS</w:t>
            </w:r>
          </w:p>
        </w:tc>
        <w:tc>
          <w:tcPr>
            <w:tcW w:type="dxa" w:w="6768"/>
          </w:tcPr>
          <w:p>
            <w:r>
              <w:rPr>
                <w:sz w:val="20"/>
              </w:rPr>
              <w:t>100% HIPAA compliant encryption at rest and in transit. Reduced GPU infrastructure costs with clear cost-per-scan unit economics.</w:t>
            </w:r>
          </w:p>
        </w:tc>
      </w:tr>
    </w:tbl>
    <w:p/>
    <w:p>
      <w:pPr>
        <w:spacing w:after="120"/>
      </w:pPr>
      <w:r>
        <w:t>"This engagement demonstrates our ability to operate in regulated environments. We achieved 100% HIPAA compliance with encryption at rest and in transit, while simultaneously reducing GPU costs and establishing cost-per-scan as a trackable KPI."</w:t>
      </w:r>
    </w:p>
    <w:p>
      <w:r>
        <w:br w:type="page"/>
      </w:r>
    </w:p>
    <w:p>
      <w:pPr>
        <w:pStyle w:val="Heading1"/>
      </w:pPr>
      <w:r>
        <w:rPr>
          <w:color w:val="003366"/>
        </w:rPr>
        <w:t>PART 2: FRANCISCAN SOLUTIONS — DETAILED DEEP-DIVE</w:t>
      </w:r>
    </w:p>
    <w:p>
      <w:pPr>
        <w:spacing w:after="80"/>
      </w:pPr>
      <w:r>
        <w:rPr>
          <w:i/>
          <w:color w:val="646464"/>
          <w:sz w:val="20"/>
        </w:rPr>
        <w:t>[Transition to the auditor]</w:t>
      </w:r>
    </w:p>
    <w:p>
      <w:pPr>
        <w:spacing w:after="120"/>
      </w:pPr>
      <w:r>
        <w:t>"Now that you have seen the summary of all four client engagements, let me do a detailed deep-dive into Franciscan Solutions — our primary customer reference for the AWS CloudOps Competency under the CFM category. I will walk through every aspect of this engagement — the challenges, our methodology, the specific actions we took, the governance we implemented, and the measurable outcomes."</w:t>
      </w:r>
    </w:p>
    <w:p>
      <w:pPr>
        <w:spacing w:before="120" w:after="120"/>
      </w:pPr>
      <w:r>
        <w:rPr>
          <w:color w:val="C8C8C8"/>
        </w:rPr>
        <w:t>────────────────────────────────────────────────────────────────────────────────</w:t>
      </w:r>
    </w:p>
    <w:p>
      <w:pPr>
        <w:pStyle w:val="Heading2"/>
      </w:pPr>
      <w:r>
        <w:rPr>
          <w:color w:val="333333"/>
        </w:rPr>
        <w:t>Customer Profile</w:t>
      </w:r>
    </w:p>
    <w:p>
      <w:pPr>
        <w:spacing w:after="80"/>
      </w:pPr>
      <w:r>
        <w:rPr>
          <w:b/>
        </w:rPr>
        <w:t xml:space="preserve">Customer: </w:t>
      </w:r>
      <w:r>
        <w:t>Franciscan Solutions</w:t>
      </w:r>
    </w:p>
    <w:p>
      <w:pPr>
        <w:spacing w:after="80"/>
      </w:pPr>
      <w:r>
        <w:rPr>
          <w:b/>
        </w:rPr>
        <w:t xml:space="preserve">Industry: </w:t>
      </w:r>
      <w:r>
        <w:t>Education Technology (EdTech)</w:t>
      </w:r>
    </w:p>
    <w:p>
      <w:pPr>
        <w:spacing w:after="80"/>
      </w:pPr>
      <w:r>
        <w:rPr>
          <w:b/>
        </w:rPr>
        <w:t xml:space="preserve">AWS Regions: </w:t>
      </w:r>
      <w:r>
        <w:t>Multi-region deployment</w:t>
      </w:r>
    </w:p>
    <w:p>
      <w:pPr>
        <w:spacing w:after="80"/>
      </w:pPr>
      <w:r>
        <w:rPr>
          <w:b/>
        </w:rPr>
        <w:t xml:space="preserve">Engagement Type: </w:t>
      </w:r>
      <w:r>
        <w:t>FinOps Transformation</w:t>
      </w:r>
    </w:p>
    <w:p>
      <w:pPr>
        <w:spacing w:after="80"/>
      </w:pPr>
      <w:r>
        <w:rPr>
          <w:b/>
        </w:rPr>
        <w:t xml:space="preserve">Accounts: </w:t>
      </w:r>
      <w:r>
        <w:t>Production, Non-Production, and Shared Services</w:t>
      </w:r>
    </w:p>
    <w:p>
      <w:pPr>
        <w:spacing w:after="80"/>
      </w:pPr>
      <w:r>
        <w:rPr>
          <w:b/>
        </w:rPr>
        <w:t xml:space="preserve">Project Sign-Off: </w:t>
      </w:r>
      <w:r>
        <w:t>August 29, 2025</w:t>
      </w:r>
    </w:p>
    <w:p>
      <w:pPr>
        <w:spacing w:after="120"/>
      </w:pPr>
      <w:r>
        <w:t>Franciscan Solutions provides digital learning platforms and student management systems. Their business is inherently seasonal — massive traffic and cost spikes during admission periods and examination cycles.</w:t>
      </w:r>
    </w:p>
    <w:p>
      <w:pPr>
        <w:spacing w:before="120" w:after="120"/>
      </w:pPr>
      <w:r>
        <w:rPr>
          <w:color w:val="C8C8C8"/>
        </w:rPr>
        <w:t>────────────────────────────────────────────────────────────────────────────────</w:t>
      </w:r>
    </w:p>
    <w:p>
      <w:pPr>
        <w:pStyle w:val="Heading2"/>
      </w:pPr>
      <w:r>
        <w:rPr>
          <w:color w:val="333333"/>
        </w:rPr>
        <w:t>Challenges Identified — In Detail</w:t>
      </w:r>
    </w:p>
    <w:p>
      <w:pPr>
        <w:spacing w:after="80"/>
      </w:pPr>
      <w:r>
        <w:rPr>
          <w:i/>
          <w:color w:val="646464"/>
          <w:sz w:val="20"/>
        </w:rPr>
        <w:t>[Present each challenge as a documented finding, not an assumption]</w:t>
      </w:r>
    </w:p>
    <w:p>
      <w:pPr>
        <w:spacing w:after="80"/>
      </w:pPr>
      <w:r>
        <w:rPr>
          <w:b/>
        </w:rPr>
        <w:t xml:space="preserve">1. Unpredictable Seasonal Spikes: </w:t>
      </w:r>
      <w:r>
        <w:t>Massive cost increases during admission periods and exam cycles. No forecasting model existed to anticipate these spikes. Budgets were consistently exceeded without warning.</w:t>
      </w:r>
    </w:p>
    <w:p>
      <w:pPr>
        <w:spacing w:after="80"/>
      </w:pPr>
      <w:r>
        <w:rPr>
          <w:b/>
        </w:rPr>
        <w:t xml:space="preserve">2. Reactive Cost Management: </w:t>
      </w:r>
      <w:r>
        <w:t>No proactive mechanisms in place — no alerts, no anomaly detection, no budget guardrails. The team only discovered overspend after the billing cycle closed.</w:t>
      </w:r>
    </w:p>
    <w:p>
      <w:pPr>
        <w:spacing w:after="80"/>
      </w:pPr>
      <w:r>
        <w:rPr>
          <w:b/>
        </w:rPr>
        <w:t xml:space="preserve">3. Limited Cost Visibility: </w:t>
      </w:r>
      <w:r>
        <w:t>Inability to identify granular cost drivers across different services, accounts, or business units. No dashboards or reporting existed to understand where money was going.</w:t>
      </w:r>
    </w:p>
    <w:p>
      <w:pPr>
        <w:spacing w:after="80"/>
      </w:pPr>
      <w:r>
        <w:rPr>
          <w:b/>
        </w:rPr>
        <w:t xml:space="preserve">4. Poor Cost Allocation: </w:t>
      </w:r>
      <w:r>
        <w:t>No clear attribution of costs to specific cost centers. Academic departments, administrative functions, and shared infrastructure costs were blended together with no separation.</w:t>
      </w:r>
    </w:p>
    <w:p>
      <w:pPr>
        <w:spacing w:after="80"/>
      </w:pPr>
      <w:r>
        <w:rPr>
          <w:b/>
        </w:rPr>
        <w:t xml:space="preserve">5. Inconsistent Tagging — Only 58% Compliance: </w:t>
      </w:r>
      <w:r>
        <w:t>Nearly half of all resources were untaggable for cost allocation. This was the foundational blocker — you cannot run FinOps without tagging.</w:t>
      </w:r>
    </w:p>
    <w:p>
      <w:pPr>
        <w:spacing w:after="80"/>
      </w:pPr>
      <w:r>
        <w:rPr>
          <w:b/>
        </w:rPr>
        <w:t xml:space="preserve">6. No Unit Economics: </w:t>
      </w:r>
      <w:r>
        <w:t>Unable to calculate cost-per-student (Cost-per-DAU — Daily Active User). Without unit economics, there was no way to tie cloud spend to business value or make informed architectural decisions.</w:t>
      </w:r>
    </w:p>
    <w:p>
      <w:pPr>
        <w:spacing w:after="80"/>
      </w:pPr>
      <w:r>
        <w:rPr>
          <w:b/>
        </w:rPr>
        <w:t xml:space="preserve">7. Multi-Account Complexity: </w:t>
      </w:r>
      <w:r>
        <w:t>Costs spread across Production, Non-Production, and Shared Services accounts with no consolidated view or governance structure.</w:t>
      </w:r>
    </w:p>
    <w:p>
      <w:pPr>
        <w:spacing w:after="80"/>
      </w:pPr>
      <w:r>
        <w:rPr>
          <w:b/>
        </w:rPr>
        <w:t xml:space="preserve">8. Lack of Policy Enforcement: </w:t>
      </w:r>
      <w:r>
        <w:t>No automated mechanisms to enforce tagging standards, spending limits, or governance policies. Everything was manual and inconsistent.</w:t>
      </w:r>
    </w:p>
    <w:p>
      <w:pPr>
        <w:spacing w:before="120" w:after="120"/>
      </w:pPr>
      <w:r>
        <w:rPr>
          <w:color w:val="C8C8C8"/>
        </w:rPr>
        <w:t>────────────────────────────────────────────────────────────────────────────────</w:t>
      </w:r>
    </w:p>
    <w:p>
      <w:pPr>
        <w:pStyle w:val="Heading2"/>
      </w:pPr>
      <w:r>
        <w:rPr>
          <w:color w:val="333333"/>
        </w:rPr>
        <w:t>Solution: FinOps Framework — Inform, Optimize, Operate</w:t>
      </w:r>
    </w:p>
    <w:p>
      <w:pPr>
        <w:spacing w:after="80"/>
      </w:pPr>
      <w:r>
        <w:rPr>
          <w:i/>
          <w:color w:val="646464"/>
          <w:sz w:val="20"/>
        </w:rPr>
        <w:t>[Walk the auditor through each phase]</w:t>
      </w:r>
    </w:p>
    <w:p>
      <w:pPr>
        <w:spacing w:after="120"/>
      </w:pPr>
      <w:r>
        <w:t>"Our approach followed the FinOps Foundation framework — a structured 3-phase methodology."</w:t>
      </w:r>
    </w:p>
    <w:p>
      <w:r>
        <w:rPr>
          <w:b/>
          <w:sz w:val="22"/>
        </w:rPr>
        <w:t>Phase 1 — INFORM (Establish Visibility)</w:t>
      </w:r>
    </w:p>
    <w:p>
      <w:pPr>
        <w:pStyle w:val="ListBullet"/>
        <w:spacing w:after="40"/>
      </w:pPr>
      <w:r>
        <w:t>Configured AWS Cost &amp; Usage Reports (CUR) with hourly granularity and resource-level detail</w:t>
      </w:r>
    </w:p>
    <w:p>
      <w:pPr>
        <w:pStyle w:val="ListBullet"/>
        <w:spacing w:after="40"/>
      </w:pPr>
      <w:r>
        <w:t>Integrated CUR data into Aquila Cloud FinOps Platform for AI-driven cost analysis</w:t>
      </w:r>
    </w:p>
    <w:p>
      <w:pPr>
        <w:pStyle w:val="ListBullet"/>
        <w:spacing w:after="40"/>
      </w:pPr>
      <w:r>
        <w:t>Built custom Amazon QuickSight dashboards for cost visualization and unit economics tracking</w:t>
      </w:r>
    </w:p>
    <w:p>
      <w:pPr>
        <w:pStyle w:val="ListBullet"/>
        <w:spacing w:after="40"/>
      </w:pPr>
      <w:r>
        <w:t>Set up budget alerts and anomaly detection for immediate spend deviation awareness</w:t>
      </w:r>
    </w:p>
    <w:p>
      <w:pPr>
        <w:pStyle w:val="ListBullet"/>
        <w:spacing w:after="40"/>
      </w:pPr>
      <w:r>
        <w:t>Deployed cost trend analysis showing month-over-month changes in actual spend</w:t>
      </w:r>
    </w:p>
    <w:p>
      <w:pPr>
        <w:pStyle w:val="ListBullet"/>
        <w:spacing w:after="40"/>
      </w:pPr>
      <w:r>
        <w:t>Established filtering and grouping of all AWS costs by Cloud Provider, Service, Region, and Top Level Domains</w:t>
      </w:r>
    </w:p>
    <w:p>
      <w:r>
        <w:rPr>
          <w:b/>
          <w:sz w:val="22"/>
        </w:rPr>
        <w:t>Phase 2 — OPTIMIZE (Reduce Waste &amp; Maximize Value)</w:t>
      </w:r>
    </w:p>
    <w:p>
      <w:pPr>
        <w:pStyle w:val="ListBullet"/>
        <w:spacing w:after="40"/>
      </w:pPr>
      <w:r>
        <w:t>Conducted Well-Architected FinOps reviews</w:t>
      </w:r>
    </w:p>
    <w:p>
      <w:pPr>
        <w:pStyle w:val="ListBullet"/>
        <w:spacing w:after="40"/>
      </w:pPr>
      <w:r>
        <w:t>Instance family optimization — migrated workloads to cost-effective instance types based on actual utilization (CPU, IOPS, throughput)</w:t>
      </w:r>
    </w:p>
    <w:p>
      <w:pPr>
        <w:pStyle w:val="ListBullet"/>
        <w:spacing w:after="40"/>
      </w:pPr>
      <w:r>
        <w:t>EC2 rightsizing and scheduling to match seasonal demand patterns</w:t>
      </w:r>
    </w:p>
    <w:p>
      <w:pPr>
        <w:pStyle w:val="ListBullet"/>
        <w:spacing w:after="40"/>
      </w:pPr>
      <w:r>
        <w:t>S3 lifecycle policies to manage storage costs</w:t>
      </w:r>
    </w:p>
    <w:p>
      <w:pPr>
        <w:pStyle w:val="ListBullet"/>
        <w:spacing w:after="40"/>
      </w:pPr>
      <w:r>
        <w:t>Seasonal forecasting models using ML-based approaches accounting for admission and exam cycles</w:t>
      </w:r>
    </w:p>
    <w:p>
      <w:pPr>
        <w:pStyle w:val="ListBullet"/>
        <w:spacing w:after="40"/>
      </w:pPr>
      <w:r>
        <w:t>Savings Plans adoption — increased coverage from 18% to 72% with 98% utilization</w:t>
      </w:r>
    </w:p>
    <w:p>
      <w:pPr>
        <w:pStyle w:val="ListBullet"/>
        <w:spacing w:after="40"/>
      </w:pPr>
      <w:r>
        <w:t>Identified and eliminated idle, unattached, and orphaned resources</w:t>
      </w:r>
    </w:p>
    <w:p>
      <w:pPr>
        <w:pStyle w:val="ListBullet"/>
        <w:spacing w:after="40"/>
      </w:pPr>
      <w:r>
        <w:t>EBS GP2 to GP3 migration — 2,056 volumes identified with quantified annual savings</w:t>
      </w:r>
    </w:p>
    <w:p>
      <w:pPr>
        <w:pStyle w:val="ListBullet"/>
        <w:spacing w:after="40"/>
      </w:pPr>
      <w:r>
        <w:t>EBS Snapshot lifecycle management with policy-based identification and removal</w:t>
      </w:r>
    </w:p>
    <w:p>
      <w:r>
        <w:rPr>
          <w:b/>
          <w:sz w:val="22"/>
        </w:rPr>
        <w:t>Phase 3 — OPERATE (Sustain &amp; Govern)</w:t>
      </w:r>
    </w:p>
    <w:p>
      <w:pPr>
        <w:pStyle w:val="ListBullet"/>
        <w:spacing w:after="40"/>
      </w:pPr>
      <w:r>
        <w:t>Monthly business review cadence established</w:t>
      </w:r>
    </w:p>
    <w:p>
      <w:pPr>
        <w:pStyle w:val="ListBullet"/>
        <w:spacing w:after="40"/>
      </w:pPr>
      <w:r>
        <w:t>Cloud Center of Excellence (CCoE) aligned with tagging standards and budget guardrails</w:t>
      </w:r>
    </w:p>
    <w:p>
      <w:pPr>
        <w:pStyle w:val="ListBullet"/>
        <w:spacing w:after="40"/>
      </w:pPr>
      <w:r>
        <w:t>Real-time cost dashboards via QuickSight shared with Product and Engineering teams</w:t>
      </w:r>
    </w:p>
    <w:p>
      <w:pPr>
        <w:pStyle w:val="ListBullet"/>
        <w:spacing w:after="40"/>
      </w:pPr>
      <w:r>
        <w:t>Cost allocation rules and naming conventions implemented</w:t>
      </w:r>
    </w:p>
    <w:p>
      <w:pPr>
        <w:pStyle w:val="ListBullet"/>
        <w:spacing w:after="40"/>
      </w:pPr>
      <w:r>
        <w:t>3 deep-dive training sessions delivered to Engineering and Finance teams on CCoE operating model</w:t>
      </w:r>
    </w:p>
    <w:p>
      <w:pPr>
        <w:pStyle w:val="ListBullet"/>
        <w:spacing w:after="40"/>
      </w:pPr>
      <w:r>
        <w:t>FinOps best practices training and Aquila Cloud platform handover</w:t>
      </w:r>
    </w:p>
    <w:p>
      <w:pPr>
        <w:spacing w:before="120" w:after="120"/>
      </w:pPr>
      <w:r>
        <w:rPr>
          <w:color w:val="C8C8C8"/>
        </w:rPr>
        <w:t>────────────────────────────────────────────────────────────────────────────────</w:t>
      </w:r>
    </w:p>
    <w:p>
      <w:pPr>
        <w:pStyle w:val="Heading2"/>
      </w:pPr>
      <w:r>
        <w:rPr>
          <w:color w:val="333333"/>
        </w:rPr>
        <w:t>AWS Services &amp; Tools Deployed</w:t>
      </w:r>
    </w:p>
    <w:p>
      <w:pPr>
        <w:spacing w:after="120"/>
      </w:pPr>
      <w:r>
        <w:t>"Here are the specific AWS services and tools we used for Franciscan."</w:t>
      </w:r>
    </w:p>
    <w:tbl>
      <w:tblPr>
        <w:tblStyle w:val="MediumShading1-Accent1"/>
        <w:tblW w:type="auto" w:w="0"/>
        <w:jc w:val="center"/>
        <w:tblLook w:firstColumn="1" w:firstRow="1" w:lastColumn="0" w:lastRow="0" w:noHBand="0" w:noVBand="1" w:val="04A0"/>
      </w:tblPr>
      <w:tblGrid>
        <w:gridCol w:w="4320"/>
        <w:gridCol w:w="4320"/>
      </w:tblGrid>
      <w:tr>
        <w:tc>
          <w:tcPr>
            <w:tcW w:type="dxa" w:w="2880"/>
          </w:tcPr>
          <w:p>
            <w:r>
              <w:rPr>
                <w:b/>
              </w:rPr>
              <w:t>AWS Service / Tool</w:t>
            </w:r>
          </w:p>
        </w:tc>
        <w:tc>
          <w:tcPr>
            <w:tcW w:type="dxa" w:w="6480"/>
          </w:tcPr>
          <w:p>
            <w:r>
              <w:rPr>
                <w:b/>
              </w:rPr>
              <w:t>How We Used It</w:t>
            </w:r>
          </w:p>
        </w:tc>
      </w:tr>
      <w:tr>
        <w:tc>
          <w:tcPr>
            <w:tcW w:type="dxa" w:w="2880"/>
          </w:tcPr>
          <w:p>
            <w:r>
              <w:rPr>
                <w:b/>
                <w:sz w:val="20"/>
              </w:rPr>
              <w:t>EC2</w:t>
            </w:r>
          </w:p>
        </w:tc>
        <w:tc>
          <w:tcPr>
            <w:tcW w:type="dxa" w:w="6480"/>
          </w:tcPr>
          <w:p>
            <w:r>
              <w:rPr>
                <w:sz w:val="20"/>
              </w:rPr>
              <w:t>Primary compute — rightsized based on utilization metrics, scheduled for seasonal demand</w:t>
            </w:r>
          </w:p>
        </w:tc>
      </w:tr>
      <w:tr>
        <w:tc>
          <w:tcPr>
            <w:tcW w:type="dxa" w:w="2880"/>
          </w:tcPr>
          <w:p>
            <w:r>
              <w:rPr>
                <w:b/>
                <w:sz w:val="20"/>
              </w:rPr>
              <w:t>Lambda</w:t>
            </w:r>
          </w:p>
        </w:tc>
        <w:tc>
          <w:tcPr>
            <w:tcW w:type="dxa" w:w="6480"/>
          </w:tcPr>
          <w:p>
            <w:r>
              <w:rPr>
                <w:sz w:val="20"/>
              </w:rPr>
              <w:t>Serverless compute for event-driven workloads and automated remediation functions</w:t>
            </w:r>
          </w:p>
        </w:tc>
      </w:tr>
      <w:tr>
        <w:tc>
          <w:tcPr>
            <w:tcW w:type="dxa" w:w="2880"/>
          </w:tcPr>
          <w:p>
            <w:r>
              <w:rPr>
                <w:b/>
                <w:sz w:val="20"/>
              </w:rPr>
              <w:t>DynamoDB</w:t>
            </w:r>
          </w:p>
        </w:tc>
        <w:tc>
          <w:tcPr>
            <w:tcW w:type="dxa" w:w="6480"/>
          </w:tcPr>
          <w:p>
            <w:r>
              <w:rPr>
                <w:sz w:val="20"/>
              </w:rPr>
              <w:t>NoSQL database for application workloads</w:t>
            </w:r>
          </w:p>
        </w:tc>
      </w:tr>
      <w:tr>
        <w:tc>
          <w:tcPr>
            <w:tcW w:type="dxa" w:w="2880"/>
          </w:tcPr>
          <w:p>
            <w:r>
              <w:rPr>
                <w:b/>
                <w:sz w:val="20"/>
              </w:rPr>
              <w:t>S3</w:t>
            </w:r>
          </w:p>
        </w:tc>
        <w:tc>
          <w:tcPr>
            <w:tcW w:type="dxa" w:w="6480"/>
          </w:tcPr>
          <w:p>
            <w:r>
              <w:rPr>
                <w:sz w:val="20"/>
              </w:rPr>
              <w:t>Object storage with lifecycle policies for cost optimization</w:t>
            </w:r>
          </w:p>
        </w:tc>
      </w:tr>
      <w:tr>
        <w:tc>
          <w:tcPr>
            <w:tcW w:type="dxa" w:w="2880"/>
          </w:tcPr>
          <w:p>
            <w:r>
              <w:rPr>
                <w:b/>
                <w:sz w:val="20"/>
              </w:rPr>
              <w:t>CloudFront</w:t>
            </w:r>
          </w:p>
        </w:tc>
        <w:tc>
          <w:tcPr>
            <w:tcW w:type="dxa" w:w="6480"/>
          </w:tcPr>
          <w:p>
            <w:r>
              <w:rPr>
                <w:sz w:val="20"/>
              </w:rPr>
              <w:t>CDN for content delivery across regions</w:t>
            </w:r>
          </w:p>
        </w:tc>
      </w:tr>
      <w:tr>
        <w:tc>
          <w:tcPr>
            <w:tcW w:type="dxa" w:w="2880"/>
          </w:tcPr>
          <w:p>
            <w:r>
              <w:rPr>
                <w:b/>
                <w:sz w:val="20"/>
              </w:rPr>
              <w:t>Athena</w:t>
            </w:r>
          </w:p>
        </w:tc>
        <w:tc>
          <w:tcPr>
            <w:tcW w:type="dxa" w:w="6480"/>
          </w:tcPr>
          <w:p>
            <w:r>
              <w:rPr>
                <w:sz w:val="20"/>
              </w:rPr>
              <w:t>Serverless query engine for CUR data analysis</w:t>
            </w:r>
          </w:p>
        </w:tc>
      </w:tr>
      <w:tr>
        <w:tc>
          <w:tcPr>
            <w:tcW w:type="dxa" w:w="2880"/>
          </w:tcPr>
          <w:p>
            <w:r>
              <w:rPr>
                <w:b/>
                <w:sz w:val="20"/>
              </w:rPr>
              <w:t>Cost Explorer</w:t>
            </w:r>
          </w:p>
        </w:tc>
        <w:tc>
          <w:tcPr>
            <w:tcW w:type="dxa" w:w="6480"/>
          </w:tcPr>
          <w:p>
            <w:r>
              <w:rPr>
                <w:sz w:val="20"/>
              </w:rPr>
              <w:t>Historical cost trend analysis, predictive estimates, and spend forecasting</w:t>
            </w:r>
          </w:p>
        </w:tc>
      </w:tr>
      <w:tr>
        <w:tc>
          <w:tcPr>
            <w:tcW w:type="dxa" w:w="2880"/>
          </w:tcPr>
          <w:p>
            <w:r>
              <w:rPr>
                <w:b/>
                <w:sz w:val="20"/>
              </w:rPr>
              <w:t>AWS Budgets</w:t>
            </w:r>
          </w:p>
        </w:tc>
        <w:tc>
          <w:tcPr>
            <w:tcW w:type="dxa" w:w="6480"/>
          </w:tcPr>
          <w:p>
            <w:r>
              <w:rPr>
                <w:sz w:val="20"/>
              </w:rPr>
              <w:t>Budget alerts with email and third-party webhook notifications, anomaly detection</w:t>
            </w:r>
          </w:p>
        </w:tc>
      </w:tr>
      <w:tr>
        <w:tc>
          <w:tcPr>
            <w:tcW w:type="dxa" w:w="2880"/>
          </w:tcPr>
          <w:p>
            <w:r>
              <w:rPr>
                <w:b/>
                <w:sz w:val="20"/>
              </w:rPr>
              <w:t>AWS Organizations</w:t>
            </w:r>
          </w:p>
        </w:tc>
        <w:tc>
          <w:tcPr>
            <w:tcW w:type="dxa" w:w="6480"/>
          </w:tcPr>
          <w:p>
            <w:r>
              <w:rPr>
                <w:sz w:val="20"/>
              </w:rPr>
              <w:t>Centralized management, consolidated billing, Tag Policies, and SCPs</w:t>
            </w:r>
          </w:p>
        </w:tc>
      </w:tr>
      <w:tr>
        <w:tc>
          <w:tcPr>
            <w:tcW w:type="dxa" w:w="2880"/>
          </w:tcPr>
          <w:p>
            <w:r>
              <w:rPr>
                <w:b/>
                <w:sz w:val="20"/>
              </w:rPr>
              <w:t>AWS Config</w:t>
            </w:r>
          </w:p>
        </w:tc>
        <w:tc>
          <w:tcPr>
            <w:tcW w:type="dxa" w:w="6480"/>
          </w:tcPr>
          <w:p>
            <w:r>
              <w:rPr>
                <w:sz w:val="20"/>
              </w:rPr>
              <w:t>Continuous compliance scanning with managed and custom rules for tag enforcement</w:t>
            </w:r>
          </w:p>
        </w:tc>
      </w:tr>
      <w:tr>
        <w:tc>
          <w:tcPr>
            <w:tcW w:type="dxa" w:w="2880"/>
          </w:tcPr>
          <w:p>
            <w:r>
              <w:rPr>
                <w:b/>
                <w:sz w:val="20"/>
              </w:rPr>
              <w:t>AWS Compute Optimizer</w:t>
            </w:r>
          </w:p>
        </w:tc>
        <w:tc>
          <w:tcPr>
            <w:tcW w:type="dxa" w:w="6480"/>
          </w:tcPr>
          <w:p>
            <w:r>
              <w:rPr>
                <w:sz w:val="20"/>
              </w:rPr>
              <w:t>EC2/RDS right-sizing recommendations based on CPU, IOPS, and throughput</w:t>
            </w:r>
          </w:p>
        </w:tc>
      </w:tr>
      <w:tr>
        <w:tc>
          <w:tcPr>
            <w:tcW w:type="dxa" w:w="2880"/>
          </w:tcPr>
          <w:p>
            <w:r>
              <w:rPr>
                <w:b/>
                <w:sz w:val="20"/>
              </w:rPr>
              <w:t>Amazon QuickSight</w:t>
            </w:r>
          </w:p>
        </w:tc>
        <w:tc>
          <w:tcPr>
            <w:tcW w:type="dxa" w:w="6480"/>
          </w:tcPr>
          <w:p>
            <w:r>
              <w:rPr>
                <w:sz w:val="20"/>
              </w:rPr>
              <w:t>Custom dashboards for cost visualization, unit economics, and executive reporting</w:t>
            </w:r>
          </w:p>
        </w:tc>
      </w:tr>
      <w:tr>
        <w:tc>
          <w:tcPr>
            <w:tcW w:type="dxa" w:w="2880"/>
          </w:tcPr>
          <w:p>
            <w:r>
              <w:rPr>
                <w:b/>
                <w:sz w:val="20"/>
              </w:rPr>
              <w:t>Aquila Cloud FinOps Platform</w:t>
            </w:r>
          </w:p>
        </w:tc>
        <w:tc>
          <w:tcPr>
            <w:tcW w:type="dxa" w:w="6480"/>
          </w:tcPr>
          <w:p>
            <w:r>
              <w:rPr>
                <w:sz w:val="20"/>
              </w:rPr>
              <w:t>AI-driven cost analysis, anomaly detection, optimization recommendations, tag compliance tracking, right-sizing, orphaned resource identification, RI/SP management</w:t>
            </w:r>
          </w:p>
        </w:tc>
      </w:tr>
    </w:tbl>
    <w:p/>
    <w:p>
      <w:pPr>
        <w:spacing w:before="120" w:after="120"/>
      </w:pPr>
      <w:r>
        <w:rPr>
          <w:color w:val="C8C8C8"/>
        </w:rPr>
        <w:t>────────────────────────────────────────────────────────────────────────────────</w:t>
      </w:r>
    </w:p>
    <w:p>
      <w:pPr>
        <w:pStyle w:val="Heading2"/>
      </w:pPr>
      <w:r>
        <w:rPr>
          <w:color w:val="333333"/>
        </w:rPr>
        <w:t>Governance &amp; Tag Enforcement</w:t>
      </w:r>
    </w:p>
    <w:p>
      <w:pPr>
        <w:spacing w:after="80"/>
      </w:pPr>
      <w:r>
        <w:rPr>
          <w:i/>
          <w:color w:val="646464"/>
          <w:sz w:val="20"/>
        </w:rPr>
        <w:t>[This is a critical section for the auditor — show how enforcement works]</w:t>
      </w:r>
    </w:p>
    <w:p>
      <w:pPr>
        <w:spacing w:after="120"/>
      </w:pPr>
      <w:r>
        <w:t>"Governance was the backbone of this engagement. We implemented 4 mandatory cost allocation tags — application_id, cost_center, client_id, and environment — enforced via AWS Organizations SCPs."</w:t>
      </w:r>
    </w:p>
    <w:p>
      <w:r>
        <w:rPr>
          <w:b/>
        </w:rPr>
        <w:t>Preventative Controls (Block non-compliance before it happens):</w:t>
      </w:r>
    </w:p>
    <w:p>
      <w:pPr>
        <w:pStyle w:val="ListBullet"/>
        <w:spacing w:after="40"/>
      </w:pPr>
      <w:r>
        <w:t>AWS Tag Policies — define allowed tag keys and permitted values at the Organization level</w:t>
      </w:r>
    </w:p>
    <w:p>
      <w:pPr>
        <w:pStyle w:val="ListBullet"/>
        <w:spacing w:after="40"/>
      </w:pPr>
      <w:r>
        <w:t>SCPs — deny ec2:RunInstances (and similar actions) if mandatory tags are missing. Hard block, no exceptions</w:t>
      </w:r>
    </w:p>
    <w:p>
      <w:pPr>
        <w:pStyle w:val="ListBullet"/>
        <w:spacing w:after="40"/>
      </w:pPr>
      <w:r>
        <w:t>IAM Policy conditions — aws:RequestTag/environment forces tag application at resource creation</w:t>
      </w:r>
    </w:p>
    <w:p>
      <w:pPr>
        <w:pStyle w:val="ListBullet"/>
        <w:spacing w:after="40"/>
      </w:pPr>
      <w:r>
        <w:t>CI/CD pipeline checks — CloudFormation Guard and Checkov fail the pipeline if IaC templates miss required tags</w:t>
      </w:r>
    </w:p>
    <w:p>
      <w:r>
        <w:rPr>
          <w:b/>
        </w:rPr>
        <w:t>Detective Controls (Find and fix non-compliance):</w:t>
      </w:r>
    </w:p>
    <w:p>
      <w:pPr>
        <w:pStyle w:val="ListBullet"/>
        <w:spacing w:after="40"/>
      </w:pPr>
      <w:r>
        <w:t>AWS Config Rules — continuous scanning for non-compliant resources using required-tags managed rule</w:t>
      </w:r>
    </w:p>
    <w:p>
      <w:pPr>
        <w:pStyle w:val="ListBullet"/>
        <w:spacing w:after="40"/>
      </w:pPr>
      <w:r>
        <w:t>AWS Resource Groups &amp; Tag Editor — real-time views of untagged resources across all regions</w:t>
      </w:r>
    </w:p>
    <w:p>
      <w:pPr>
        <w:pStyle w:val="ListBullet"/>
        <w:spacing w:after="40"/>
      </w:pPr>
      <w:r>
        <w:t>EventBridge + Lambda automation — auto-applies default tags or notifies resource owner on Config rule violation</w:t>
      </w:r>
    </w:p>
    <w:p>
      <w:pPr>
        <w:pStyle w:val="ListBullet"/>
        <w:spacing w:after="40"/>
      </w:pPr>
      <w:r>
        <w:t>Tag Clean-Up initiative — identified and remediated resources with invalid tags not conforming to schema</w:t>
      </w:r>
    </w:p>
    <w:p>
      <w:pPr>
        <w:spacing w:after="80"/>
      </w:pPr>
      <w:r>
        <w:rPr>
          <w:b/>
        </w:rPr>
        <w:t xml:space="preserve">Result: </w:t>
      </w:r>
      <w:r>
        <w:t>Tag compliance improved from 58% to 96% across all mandatory tags.</w:t>
      </w:r>
    </w:p>
    <w:p>
      <w:pPr>
        <w:spacing w:before="120" w:after="120"/>
      </w:pPr>
      <w:r>
        <w:rPr>
          <w:color w:val="C8C8C8"/>
        </w:rPr>
        <w:t>────────────────────────────────────────────────────────────────────────────────</w:t>
      </w:r>
    </w:p>
    <w:p>
      <w:pPr>
        <w:pStyle w:val="Heading2"/>
      </w:pPr>
      <w:r>
        <w:rPr>
          <w:color w:val="333333"/>
        </w:rPr>
        <w:t>Measurable Results</w:t>
      </w:r>
    </w:p>
    <w:p>
      <w:pPr>
        <w:spacing w:after="80"/>
      </w:pPr>
      <w:r>
        <w:rPr>
          <w:i/>
          <w:color w:val="646464"/>
          <w:sz w:val="20"/>
        </w:rPr>
        <w:t>[Present these as documented actuals from the project sign-off, not projections]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Before</w:t>
            </w:r>
          </w:p>
        </w:tc>
        <w:tc>
          <w:tcPr>
            <w:tcW w:type="dxa" w:w="2880"/>
          </w:tcPr>
          <w:p>
            <w:r>
              <w:rPr>
                <w:b/>
              </w:rPr>
              <w:t>After</w:t>
            </w:r>
          </w:p>
        </w:tc>
      </w:tr>
      <w:tr>
        <w:tc>
          <w:tcPr>
            <w:tcW w:type="dxa" w:w="2880"/>
          </w:tcPr>
          <w:p>
            <w:r>
              <w:t>Tag Compliance</w:t>
            </w:r>
          </w:p>
        </w:tc>
        <w:tc>
          <w:tcPr>
            <w:tcW w:type="dxa" w:w="2880"/>
          </w:tcPr>
          <w:p>
            <w:r>
              <w:t>58%</w:t>
            </w:r>
          </w:p>
        </w:tc>
        <w:tc>
          <w:tcPr>
            <w:tcW w:type="dxa" w:w="2880"/>
          </w:tcPr>
          <w:p>
            <w:r>
              <w:t>96%</w:t>
            </w:r>
          </w:p>
        </w:tc>
      </w:tr>
      <w:tr>
        <w:tc>
          <w:tcPr>
            <w:tcW w:type="dxa" w:w="2880"/>
          </w:tcPr>
          <w:p>
            <w:r>
              <w:t>Savings Plans Coverage</w:t>
            </w:r>
          </w:p>
        </w:tc>
        <w:tc>
          <w:tcPr>
            <w:tcW w:type="dxa" w:w="2880"/>
          </w:tcPr>
          <w:p>
            <w:r>
              <w:t>18%</w:t>
            </w:r>
          </w:p>
        </w:tc>
        <w:tc>
          <w:tcPr>
            <w:tcW w:type="dxa" w:w="2880"/>
          </w:tcPr>
          <w:p>
            <w:r>
              <w:t>72%</w:t>
            </w:r>
          </w:p>
        </w:tc>
      </w:tr>
      <w:tr>
        <w:tc>
          <w:tcPr>
            <w:tcW w:type="dxa" w:w="2880"/>
          </w:tcPr>
          <w:p>
            <w:r>
              <w:t>SP Utilization</w:t>
            </w:r>
          </w:p>
        </w:tc>
        <w:tc>
          <w:tcPr>
            <w:tcW w:type="dxa" w:w="2880"/>
          </w:tcPr>
          <w:p>
            <w:r>
              <w:t>N/A</w:t>
            </w:r>
          </w:p>
        </w:tc>
        <w:tc>
          <w:tcPr>
            <w:tcW w:type="dxa" w:w="2880"/>
          </w:tcPr>
          <w:p>
            <w:r>
              <w:t>98%</w:t>
            </w:r>
          </w:p>
        </w:tc>
      </w:tr>
      <w:tr>
        <w:tc>
          <w:tcPr>
            <w:tcW w:type="dxa" w:w="2880"/>
          </w:tcPr>
          <w:p>
            <w:r>
              <w:t>Monthly Cost Reduction</w:t>
            </w:r>
          </w:p>
        </w:tc>
        <w:tc>
          <w:tcPr>
            <w:tcW w:type="dxa" w:w="2880"/>
          </w:tcPr>
          <w:p>
            <w:r>
              <w:t>Baseline</w:t>
            </w:r>
          </w:p>
        </w:tc>
        <w:tc>
          <w:tcPr>
            <w:tcW w:type="dxa" w:w="2880"/>
          </w:tcPr>
          <w:p>
            <w:r>
              <w:t>~30% within 120 days</w:t>
            </w:r>
          </w:p>
        </w:tc>
      </w:tr>
      <w:tr>
        <w:tc>
          <w:tcPr>
            <w:tcW w:type="dxa" w:w="2880"/>
          </w:tcPr>
          <w:p>
            <w:r>
              <w:t>Unit Economics (Cost-per-DAU)</w:t>
            </w:r>
          </w:p>
        </w:tc>
        <w:tc>
          <w:tcPr>
            <w:tcW w:type="dxa" w:w="2880"/>
          </w:tcPr>
          <w:p>
            <w:r>
              <w:t>Not available</w:t>
            </w:r>
          </w:p>
        </w:tc>
        <w:tc>
          <w:tcPr>
            <w:tcW w:type="dxa" w:w="2880"/>
          </w:tcPr>
          <w:p>
            <w:r>
              <w:t>Tracked &amp; shared with teams</w:t>
            </w:r>
          </w:p>
        </w:tc>
      </w:tr>
      <w:tr>
        <w:tc>
          <w:tcPr>
            <w:tcW w:type="dxa" w:w="2880"/>
          </w:tcPr>
          <w:p>
            <w:r>
              <w:t>Forecast Accuracy</w:t>
            </w:r>
          </w:p>
        </w:tc>
        <w:tc>
          <w:tcPr>
            <w:tcW w:type="dxa" w:w="2880"/>
          </w:tcPr>
          <w:p>
            <w:r>
              <w:t>Reactive / no model</w:t>
            </w:r>
          </w:p>
        </w:tc>
        <w:tc>
          <w:tcPr>
            <w:tcW w:type="dxa" w:w="2880"/>
          </w:tcPr>
          <w:p>
            <w:r>
              <w:t>ML-based seasonal predictive</w:t>
            </w:r>
          </w:p>
        </w:tc>
      </w:tr>
      <w:tr>
        <w:tc>
          <w:tcPr>
            <w:tcW w:type="dxa" w:w="2880"/>
          </w:tcPr>
          <w:p>
            <w:r>
              <w:t>Mandatory Tags Enforced</w:t>
            </w:r>
          </w:p>
        </w:tc>
        <w:tc>
          <w:tcPr>
            <w:tcW w:type="dxa" w:w="2880"/>
          </w:tcPr>
          <w:p>
            <w:r>
              <w:t>0</w:t>
            </w:r>
          </w:p>
        </w:tc>
        <w:tc>
          <w:tcPr>
            <w:tcW w:type="dxa" w:w="2880"/>
          </w:tcPr>
          <w:p>
            <w:r>
              <w:t>4 (via SCP)</w:t>
            </w:r>
          </w:p>
        </w:tc>
      </w:tr>
      <w:tr>
        <w:tc>
          <w:tcPr>
            <w:tcW w:type="dxa" w:w="2880"/>
          </w:tcPr>
          <w:p>
            <w:r>
              <w:t>Training Sessions</w:t>
            </w:r>
          </w:p>
        </w:tc>
        <w:tc>
          <w:tcPr>
            <w:tcW w:type="dxa" w:w="2880"/>
          </w:tcPr>
          <w:p>
            <w:r>
              <w:t>0</w:t>
            </w:r>
          </w:p>
        </w:tc>
        <w:tc>
          <w:tcPr>
            <w:tcW w:type="dxa" w:w="2880"/>
          </w:tcPr>
          <w:p>
            <w:r>
              <w:t>3 deep-dive sessions</w:t>
            </w:r>
          </w:p>
        </w:tc>
      </w:tr>
      <w:tr>
        <w:tc>
          <w:tcPr>
            <w:tcW w:type="dxa" w:w="2880"/>
          </w:tcPr>
          <w:p>
            <w:r>
              <w:t>Project Sign-Off</w:t>
            </w:r>
          </w:p>
        </w:tc>
        <w:tc>
          <w:tcPr>
            <w:tcW w:type="dxa" w:w="2880"/>
          </w:tcPr>
          <w:p>
            <w:r>
              <w:t>—</w:t>
            </w:r>
          </w:p>
        </w:tc>
        <w:tc>
          <w:tcPr>
            <w:tcW w:type="dxa" w:w="2880"/>
          </w:tcPr>
          <w:p>
            <w:r>
              <w:t>August 29, 2025</w:t>
            </w:r>
          </w:p>
        </w:tc>
      </w:tr>
    </w:tbl>
    <w:p/>
    <w:p>
      <w:pPr>
        <w:spacing w:before="120" w:after="120"/>
      </w:pPr>
      <w:r>
        <w:rPr>
          <w:color w:val="C8C8C8"/>
        </w:rPr>
        <w:t>────────────────────────────────────────────────────────────────────────────────</w:t>
      </w:r>
    </w:p>
    <w:p>
      <w:pPr>
        <w:pStyle w:val="Heading2"/>
      </w:pPr>
      <w:r>
        <w:rPr>
          <w:color w:val="333333"/>
        </w:rPr>
        <w:t>Project Sign-Off &amp; Acceptance</w:t>
      </w:r>
    </w:p>
    <w:p>
      <w:pPr>
        <w:spacing w:after="120"/>
      </w:pPr>
      <w:r>
        <w:t>"The FinOps Transformation Program for Franciscan Solutions was formally completed and signed off on August 29, 2025. The Project Sign-Off &amp; Acceptance Report confirms all core deliverables were reviewed, tested, and formally handed over."</w:t>
      </w:r>
    </w:p>
    <w:p>
      <w:pPr>
        <w:spacing w:after="120"/>
      </w:pPr>
      <w:r>
        <w:t>Accepted deliverables:</w:t>
      </w:r>
    </w:p>
    <w:p>
      <w:pPr>
        <w:pStyle w:val="ListBullet"/>
        <w:spacing w:after="40"/>
      </w:pPr>
      <w:r>
        <w:t>Commitment Strategy — Savings Plans coverage from 18% to 72% with 98% utilization</w:t>
      </w:r>
    </w:p>
    <w:p>
      <w:pPr>
        <w:pStyle w:val="ListBullet"/>
        <w:spacing w:after="40"/>
      </w:pPr>
      <w:r>
        <w:t>Governance Excellence — Tag compliance improved from 58% to 96% across 4 mandatory tags</w:t>
      </w:r>
    </w:p>
    <w:p>
      <w:pPr>
        <w:pStyle w:val="ListBullet"/>
        <w:spacing w:after="40"/>
      </w:pPr>
      <w:r>
        <w:t>Account Ownership — All IAM roles and governance guardrails (SCPs) verified</w:t>
      </w:r>
    </w:p>
    <w:p>
      <w:pPr>
        <w:pStyle w:val="ListBullet"/>
        <w:spacing w:after="40"/>
      </w:pPr>
      <w:r>
        <w:t>Knowledge Transfer — 3 deep-dive training sessions for Engineering and Finance teams on CCoE operating model</w:t>
      </w:r>
    </w:p>
    <w:p>
      <w:pPr>
        <w:pStyle w:val="ListBullet"/>
        <w:spacing w:after="40"/>
      </w:pPr>
      <w:r>
        <w:t>Support Transition — Formal project support concluded August 29, 2025</w:t>
      </w:r>
    </w:p>
    <w:p>
      <w:pPr>
        <w:spacing w:after="120"/>
      </w:pPr>
      <w:r>
        <w:t>"The project transitioned Franciscan from unpredictable seasonal spend into a governed, optimized, and scalable architecture with full cost visibility and unit economics."</w:t>
      </w:r>
    </w:p>
    <w:p>
      <w:r>
        <w:br w:type="page"/>
      </w:r>
    </w:p>
    <w:p>
      <w:pPr>
        <w:pStyle w:val="Heading1"/>
      </w:pPr>
      <w:r>
        <w:rPr>
          <w:color w:val="003366"/>
        </w:rPr>
        <w:t>APPENDIX: EVIDENCE MAPPING — WHAT TO SHOW IF AUDITOR ASKS</w:t>
      </w:r>
    </w:p>
    <w:tbl>
      <w:tblPr>
        <w:tblStyle w:val="MediumShading1-Accent1"/>
        <w:tblW w:type="auto" w:w="0"/>
        <w:jc w:val="center"/>
        <w:tblLook w:firstColumn="1" w:firstRow="1" w:lastColumn="0" w:lastRow="0" w:noHBand="0" w:noVBand="1" w:val="04A0"/>
      </w:tblPr>
      <w:tblGrid>
        <w:gridCol w:w="4320"/>
        <w:gridCol w:w="4320"/>
      </w:tblGrid>
      <w:tr>
        <w:tc>
          <w:tcPr>
            <w:tcW w:type="dxa" w:w="3600"/>
          </w:tcPr>
          <w:p>
            <w:r>
              <w:rPr>
                <w:b/>
              </w:rPr>
              <w:t>If Auditor Asks...</w:t>
            </w:r>
          </w:p>
        </w:tc>
        <w:tc>
          <w:tcPr>
            <w:tcW w:type="dxa" w:w="5760"/>
          </w:tcPr>
          <w:p>
            <w:r>
              <w:rPr>
                <w:b/>
              </w:rPr>
              <w:t>Show This Evidence</w:t>
            </w:r>
          </w:p>
        </w:tc>
      </w:tr>
      <w:tr>
        <w:tc>
          <w:tcPr>
            <w:tcW w:type="dxa" w:w="3600"/>
          </w:tcPr>
          <w:p>
            <w:r>
              <w:t>How do you enforce tagging?</w:t>
            </w:r>
          </w:p>
        </w:tc>
        <w:tc>
          <w:tcPr>
            <w:tcW w:type="dxa" w:w="5760"/>
          </w:tcPr>
          <w:p>
            <w:r>
              <w:t>AWS Tag Policies, SCPs denying untagged resource creation, CI/CD pipeline checks with CloudFormation Guard/Checkov</w:t>
            </w:r>
          </w:p>
        </w:tc>
      </w:tr>
      <w:tr>
        <w:tc>
          <w:tcPr>
            <w:tcW w:type="dxa" w:w="3600"/>
          </w:tcPr>
          <w:p>
            <w:r>
              <w:t>Show me cost visibility</w:t>
            </w:r>
          </w:p>
        </w:tc>
        <w:tc>
          <w:tcPr>
            <w:tcW w:type="dxa" w:w="5760"/>
          </w:tcPr>
          <w:p>
            <w:r>
              <w:t>Aquila Cloud dashboards — Overview with filters by Provider/Service/Region, Cost Trend charts, Top 10 Services by Cost</w:t>
            </w:r>
          </w:p>
        </w:tc>
      </w:tr>
      <w:tr>
        <w:tc>
          <w:tcPr>
            <w:tcW w:type="dxa" w:w="3600"/>
          </w:tcPr>
          <w:p>
            <w:r>
              <w:t>How do you do right-sizing?</w:t>
            </w:r>
          </w:p>
        </w:tc>
        <w:tc>
          <w:tcPr>
            <w:tcW w:type="dxa" w:w="5760"/>
          </w:tcPr>
          <w:p>
            <w:r>
              <w:t>Compute Optimizer + Aquila Cloud right-sizing recommendations with CPU utilization, IOPS, and throughput graphs</w:t>
            </w:r>
          </w:p>
        </w:tc>
      </w:tr>
      <w:tr>
        <w:tc>
          <w:tcPr>
            <w:tcW w:type="dxa" w:w="3600"/>
          </w:tcPr>
          <w:p>
            <w:r>
              <w:t>What about orphaned resources?</w:t>
            </w:r>
          </w:p>
        </w:tc>
        <w:tc>
          <w:tcPr>
            <w:tcW w:type="dxa" w:w="5760"/>
          </w:tcPr>
          <w:p>
            <w:r>
              <w:t>Aquila Cloud Unused Resources dashboard — total count, 30-day cost, potential savings quantified</w:t>
            </w:r>
          </w:p>
        </w:tc>
      </w:tr>
      <w:tr>
        <w:tc>
          <w:tcPr>
            <w:tcW w:type="dxa" w:w="3600"/>
          </w:tcPr>
          <w:p>
            <w:r>
              <w:t>Commitment management?</w:t>
            </w:r>
          </w:p>
        </w:tc>
        <w:tc>
          <w:tcPr>
            <w:tcW w:type="dxa" w:w="5760"/>
          </w:tcPr>
          <w:p>
            <w:r>
              <w:t>RI/SP dashboard — total reservations, purchased units, coverage, spend, unused fees, RI utilization</w:t>
            </w:r>
          </w:p>
        </w:tc>
      </w:tr>
      <w:tr>
        <w:tc>
          <w:tcPr>
            <w:tcW w:type="dxa" w:w="3600"/>
          </w:tcPr>
          <w:p>
            <w:r>
              <w:t>Anomaly detection?</w:t>
            </w:r>
          </w:p>
        </w:tc>
        <w:tc>
          <w:tcPr>
            <w:tcW w:type="dxa" w:w="5760"/>
          </w:tcPr>
          <w:p>
            <w:r>
              <w:t>Anomaly Detection dashboard with detection status and explicit mitigation status tracking</w:t>
            </w:r>
          </w:p>
        </w:tc>
      </w:tr>
      <w:tr>
        <w:tc>
          <w:tcPr>
            <w:tcW w:type="dxa" w:w="3600"/>
          </w:tcPr>
          <w:p>
            <w:r>
              <w:t>Budget alerting?</w:t>
            </w:r>
          </w:p>
        </w:tc>
        <w:tc>
          <w:tcPr>
            <w:tcW w:type="dxa" w:w="5760"/>
          </w:tcPr>
          <w:p>
            <w:r>
              <w:t>Budget Alert config — Daily Average Cost, Daily Variance, Forecasted Cost, email + webhook integration</w:t>
            </w:r>
          </w:p>
        </w:tc>
      </w:tr>
      <w:tr>
        <w:tc>
          <w:tcPr>
            <w:tcW w:type="dxa" w:w="3600"/>
          </w:tcPr>
          <w:p>
            <w:r>
              <w:t>IaC evidence?</w:t>
            </w:r>
          </w:p>
        </w:tc>
        <w:tc>
          <w:tcPr>
            <w:tcW w:type="dxa" w:w="5760"/>
          </w:tcPr>
          <w:p>
            <w:r>
              <w:t>Terraform code for scalable EKS node groups, CI/CD pipeline with linting/security/tag checks</w:t>
            </w:r>
          </w:p>
        </w:tc>
      </w:tr>
      <w:tr>
        <w:tc>
          <w:tcPr>
            <w:tcW w:type="dxa" w:w="3600"/>
          </w:tcPr>
          <w:p>
            <w:r>
              <w:t>CUR integration?</w:t>
            </w:r>
          </w:p>
        </w:tc>
        <w:tc>
          <w:tcPr>
            <w:tcW w:type="dxa" w:w="5760"/>
          </w:tcPr>
          <w:p>
            <w:r>
              <w:t>Aquila Cloud logs — Daily Aggregation Refresh, Monthly Cost Aggregation, Bill Data Download entries</w:t>
            </w:r>
          </w:p>
        </w:tc>
      </w:tr>
      <w:tr>
        <w:tc>
          <w:tcPr>
            <w:tcW w:type="dxa" w:w="3600"/>
          </w:tcPr>
          <w:p>
            <w:r>
              <w:t>Training delivered?</w:t>
            </w:r>
          </w:p>
        </w:tc>
        <w:tc>
          <w:tcPr>
            <w:tcW w:type="dxa" w:w="5760"/>
          </w:tcPr>
          <w:p>
            <w:r>
              <w:t>Project Sign-Off Report confirming 3 deep-dive training sessions on CCoE model</w:t>
            </w:r>
          </w:p>
        </w:tc>
      </w:tr>
      <w:tr>
        <w:tc>
          <w:tcPr>
            <w:tcW w:type="dxa" w:w="3600"/>
          </w:tcPr>
          <w:p>
            <w:r>
              <w:t>Project completion?</w:t>
            </w:r>
          </w:p>
        </w:tc>
        <w:tc>
          <w:tcPr>
            <w:tcW w:type="dxa" w:w="5760"/>
          </w:tcPr>
          <w:p>
            <w:r>
              <w:t>Signed Project Sign-Off &amp; Acceptance Report dated August 29,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